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08BE3" w14:textId="77777777" w:rsidR="003C6750" w:rsidRPr="006C35DF" w:rsidRDefault="003C6750" w:rsidP="003C6750">
      <w:pPr>
        <w:pStyle w:val="Titel"/>
        <w:jc w:val="both"/>
        <w:rPr>
          <w:rFonts w:eastAsia="Times New Roman"/>
          <w:lang w:val="en-US" w:eastAsia="en-GB"/>
        </w:rPr>
      </w:pPr>
      <w:commentRangeStart w:id="0"/>
      <w:r w:rsidRPr="006C35DF">
        <w:rPr>
          <w:rFonts w:eastAsia="Times New Roman"/>
          <w:lang w:val="en-US" w:eastAsia="en-GB"/>
        </w:rPr>
        <w:t>Neuropathic pain in the trigeminal system</w:t>
      </w:r>
      <w:commentRangeEnd w:id="0"/>
      <w:r w:rsidRPr="006C35DF">
        <w:rPr>
          <w:rStyle w:val="Verwijzingopmerking"/>
          <w:rFonts w:asciiTheme="minorHAnsi" w:eastAsia="MS Mincho" w:hAnsiTheme="minorHAnsi" w:cstheme="minorHAnsi"/>
          <w:b/>
          <w:sz w:val="22"/>
          <w:szCs w:val="22"/>
        </w:rPr>
        <w:commentReference w:id="0"/>
      </w:r>
    </w:p>
    <w:p w14:paraId="19A35763" w14:textId="77777777" w:rsidR="003C6750" w:rsidRPr="006C35DF" w:rsidRDefault="003C6750" w:rsidP="003C6750">
      <w:pPr>
        <w:jc w:val="both"/>
        <w:rPr>
          <w:rFonts w:cstheme="minorHAnsi"/>
          <w:bCs/>
          <w:i/>
          <w:iCs/>
          <w:lang w:val="en-US" w:eastAsia="en-GB"/>
        </w:rPr>
      </w:pPr>
      <w:r w:rsidRPr="006C35DF">
        <w:rPr>
          <w:rFonts w:cstheme="minorHAnsi"/>
          <w:bCs/>
          <w:i/>
          <w:iCs/>
          <w:lang w:val="en-US" w:eastAsia="en-GB"/>
        </w:rPr>
        <w:t xml:space="preserve">Tara Renton PhD, MDSc, BDS </w:t>
      </w:r>
      <w:r w:rsidRPr="006C35DF">
        <w:rPr>
          <w:rFonts w:cstheme="minorHAnsi"/>
          <w:bCs/>
          <w:i/>
          <w:iCs/>
          <w:lang w:val="en-US" w:eastAsia="en-GB"/>
        </w:rPr>
        <w:tab/>
      </w:r>
      <w:r w:rsidRPr="006C35DF">
        <w:rPr>
          <w:rFonts w:cstheme="minorHAnsi"/>
          <w:bCs/>
          <w:i/>
          <w:iCs/>
          <w:lang w:val="en-US" w:eastAsia="en-GB"/>
        </w:rPr>
        <w:tab/>
      </w:r>
    </w:p>
    <w:p w14:paraId="2A5C353A" w14:textId="77777777" w:rsidR="003C6750" w:rsidRPr="006C35DF" w:rsidRDefault="003C6750" w:rsidP="003C6750">
      <w:pPr>
        <w:jc w:val="both"/>
        <w:rPr>
          <w:rFonts w:cstheme="minorHAnsi"/>
          <w:bCs/>
          <w:lang w:val="en-US" w:eastAsia="en-GB"/>
        </w:rPr>
      </w:pPr>
      <w:r w:rsidRPr="006C35DF">
        <w:rPr>
          <w:rFonts w:cstheme="minorHAnsi"/>
          <w:bCs/>
          <w:lang w:val="en-US" w:eastAsia="en-GB"/>
        </w:rPr>
        <w:t xml:space="preserve">Professor Oral Surgery </w:t>
      </w:r>
      <w:r w:rsidRPr="006C35DF">
        <w:rPr>
          <w:rFonts w:cstheme="minorHAnsi"/>
          <w:bCs/>
        </w:rPr>
        <w:t>Department of Oral Surgery, King’s College London Dental Institute, London, United Kingdom</w:t>
      </w:r>
    </w:p>
    <w:p w14:paraId="2E72B7C1" w14:textId="77777777" w:rsidR="003C6750" w:rsidRPr="006C35DF" w:rsidRDefault="003C6750" w:rsidP="003C6750">
      <w:pPr>
        <w:jc w:val="both"/>
        <w:rPr>
          <w:rFonts w:cstheme="minorHAnsi"/>
          <w:bCs/>
          <w:i/>
          <w:iCs/>
          <w:lang w:val="nl-BE" w:eastAsia="en-GB"/>
        </w:rPr>
      </w:pPr>
      <w:r w:rsidRPr="006C35DF">
        <w:rPr>
          <w:rFonts w:cstheme="minorHAnsi"/>
          <w:bCs/>
          <w:i/>
          <w:iCs/>
          <w:lang w:val="nl-BE" w:eastAsia="en-GB"/>
        </w:rPr>
        <w:t>Fréderic Van de Cruyssen MD, DDS</w:t>
      </w:r>
      <w:r w:rsidRPr="006C35DF">
        <w:rPr>
          <w:rFonts w:cstheme="minorHAnsi"/>
          <w:bCs/>
          <w:i/>
          <w:iCs/>
          <w:lang w:val="nl-BE" w:eastAsia="en-GB"/>
        </w:rPr>
        <w:tab/>
      </w:r>
      <w:r w:rsidRPr="006C35DF">
        <w:rPr>
          <w:rFonts w:cstheme="minorHAnsi"/>
          <w:bCs/>
          <w:i/>
          <w:iCs/>
          <w:lang w:val="nl-BE" w:eastAsia="en-GB"/>
        </w:rPr>
        <w:tab/>
      </w:r>
    </w:p>
    <w:p w14:paraId="02003E1C" w14:textId="77777777" w:rsidR="003C6750" w:rsidRPr="006C35DF" w:rsidRDefault="003C6750" w:rsidP="003C6750">
      <w:pPr>
        <w:jc w:val="both"/>
        <w:rPr>
          <w:rFonts w:cstheme="minorHAnsi"/>
          <w:bCs/>
          <w:bdr w:val="none" w:sz="0" w:space="0" w:color="auto" w:frame="1"/>
          <w:shd w:val="clear" w:color="auto" w:fill="FFFFFF"/>
          <w:lang w:val="en-US"/>
        </w:rPr>
      </w:pPr>
      <w:r w:rsidRPr="006C35DF">
        <w:rPr>
          <w:rFonts w:cstheme="minorHAnsi"/>
          <w:bCs/>
          <w:bdr w:val="none" w:sz="0" w:space="0" w:color="auto" w:frame="1"/>
          <w:shd w:val="clear" w:color="auto" w:fill="FFFFFF"/>
          <w:lang w:val="en-US"/>
        </w:rPr>
        <w:t xml:space="preserve">PhD-Candidate OMFS-IMPATH Research Group </w:t>
      </w:r>
      <w:r w:rsidRPr="006C35DF">
        <w:rPr>
          <w:rFonts w:cstheme="minorHAnsi"/>
          <w:bCs/>
        </w:rPr>
        <w:t>Department of Oral &amp; Maxillofacial Surgery, University Hospitals Leuven, Leuven, Belgium</w:t>
      </w:r>
    </w:p>
    <w:p w14:paraId="5E5B673A" w14:textId="77777777" w:rsidR="003C6750" w:rsidRDefault="003C6750" w:rsidP="003C6750">
      <w:pPr>
        <w:pStyle w:val="Kop1"/>
        <w:jc w:val="both"/>
      </w:pPr>
      <w:r>
        <w:t>Case Study</w:t>
      </w:r>
    </w:p>
    <w:p w14:paraId="7393F89B" w14:textId="27C64827" w:rsidR="003C6750" w:rsidRDefault="003C6750" w:rsidP="003C6750">
      <w:pPr>
        <w:jc w:val="both"/>
      </w:pPr>
      <w:r w:rsidRPr="002D25F8">
        <w:t xml:space="preserve">A 69-year-old woman with a history of arterial hypertension and COPD presents with pain symptoms in the right infraorbital area. These pain complaints have been present for 10 years. Upon further inquiries they appear to have arisen after a routine dental visit during which a </w:t>
      </w:r>
      <w:r>
        <w:t>pre</w:t>
      </w:r>
      <w:r w:rsidRPr="002D25F8">
        <w:t xml:space="preserve">molar in the upper jaw was removed. Initially there was severe pain after the operation with </w:t>
      </w:r>
      <w:r>
        <w:t>a fuzzy swollen feeling under her right eye</w:t>
      </w:r>
      <w:r w:rsidRPr="002D25F8">
        <w:t xml:space="preserve">. </w:t>
      </w:r>
      <w:r>
        <w:t>The dentist told her this would heal spontaneously, b</w:t>
      </w:r>
      <w:r w:rsidRPr="00E84A9C">
        <w:t xml:space="preserve">ut it didn't. At subsequent checks he said he had never seen this before and referred her back to </w:t>
      </w:r>
      <w:r w:rsidR="00EC4AFD">
        <w:t>her general pract</w:t>
      </w:r>
      <w:r w:rsidR="003165C3">
        <w:t>itio</w:t>
      </w:r>
      <w:r w:rsidR="00EC4AFD">
        <w:t>ner</w:t>
      </w:r>
      <w:r>
        <w:t xml:space="preserve">. </w:t>
      </w:r>
    </w:p>
    <w:p w14:paraId="0EB54FAB" w14:textId="39373BCF" w:rsidR="003C6750" w:rsidRPr="006C35DF" w:rsidRDefault="003C6750" w:rsidP="003C6750">
      <w:pPr>
        <w:jc w:val="both"/>
        <w:rPr>
          <w:rFonts w:cstheme="minorHAnsi"/>
          <w:bCs/>
          <w:lang w:val="en-US" w:eastAsia="en-GB"/>
        </w:rPr>
      </w:pPr>
      <w:r>
        <w:t>At present,</w:t>
      </w:r>
      <w:r w:rsidRPr="002D25F8">
        <w:t xml:space="preserve"> she describes the pain as continuously burning and tingling</w:t>
      </w:r>
      <w:r>
        <w:t>, scoring 8 out of 10 on a VAS scale</w:t>
      </w:r>
      <w:r w:rsidRPr="002D25F8">
        <w:t xml:space="preserve">. In cold weather the burning </w:t>
      </w:r>
      <w:r>
        <w:t xml:space="preserve">sensations </w:t>
      </w:r>
      <w:r w:rsidRPr="002D25F8">
        <w:t xml:space="preserve">become unbearable. </w:t>
      </w:r>
      <w:r>
        <w:t xml:space="preserve">She also complaints of intermittent headaches. </w:t>
      </w:r>
      <w:r w:rsidRPr="002D25F8">
        <w:t>She already saw several specialists</w:t>
      </w:r>
      <w:r>
        <w:t xml:space="preserve">. At several occasions, imaging studies and biopsies were taken which were all inconclusive. She </w:t>
      </w:r>
      <w:r w:rsidRPr="002D25F8">
        <w:t>tried numerous medications (pregabalin, amitriptyline, duloxetine, oxycodone)</w:t>
      </w:r>
      <w:r>
        <w:t>, but n</w:t>
      </w:r>
      <w:r w:rsidRPr="002D25F8">
        <w:t>o therapy gave her a meaningful improvement of the complaints.</w:t>
      </w:r>
      <w:r>
        <w:t xml:space="preserve"> On top of that, t</w:t>
      </w:r>
      <w:r w:rsidRPr="00F07CF3">
        <w:t xml:space="preserve">hey made her feel very tired </w:t>
      </w:r>
      <w:r>
        <w:t>and</w:t>
      </w:r>
      <w:r w:rsidRPr="00F07CF3">
        <w:t xml:space="preserve"> dizzy. </w:t>
      </w:r>
      <w:r w:rsidRPr="002D25F8">
        <w:t xml:space="preserve">No one has been able to make a clear diagnosis of her problem so far. Indeed, there is nothing remarkable </w:t>
      </w:r>
      <w:r>
        <w:t>on</w:t>
      </w:r>
      <w:r w:rsidRPr="002D25F8">
        <w:t xml:space="preserve"> clinical inspection. The patient is desperate and shows clear signs of depression. For this the GP recently started escitalopram.</w:t>
      </w:r>
    </w:p>
    <w:p w14:paraId="5CBE0240" w14:textId="77777777" w:rsidR="006A360B" w:rsidRDefault="003C6750" w:rsidP="003C6750">
      <w:pPr>
        <w:pStyle w:val="Kop1"/>
      </w:pPr>
      <w:r>
        <w:t>Diagnostics</w:t>
      </w:r>
    </w:p>
    <w:p w14:paraId="006934C2" w14:textId="2B441859" w:rsidR="003C6750" w:rsidRPr="006C35DF" w:rsidRDefault="003C6750" w:rsidP="003C6750">
      <w:pPr>
        <w:jc w:val="both"/>
        <w:rPr>
          <w:rFonts w:cstheme="minorHAnsi"/>
          <w:bCs/>
          <w:lang w:val="en-US" w:eastAsia="en-GB"/>
        </w:rPr>
      </w:pPr>
      <w:r w:rsidRPr="0046548C">
        <w:rPr>
          <w:rFonts w:cstheme="minorHAnsi"/>
          <w:bCs/>
          <w:lang w:val="en-US" w:eastAsia="en-GB"/>
        </w:rPr>
        <w:t xml:space="preserve">The above case describes </w:t>
      </w:r>
      <w:r>
        <w:rPr>
          <w:rFonts w:cstheme="minorHAnsi"/>
          <w:bCs/>
          <w:lang w:val="en-US" w:eastAsia="en-GB"/>
        </w:rPr>
        <w:t>a typical story</w:t>
      </w:r>
      <w:r w:rsidRPr="0046548C">
        <w:rPr>
          <w:rFonts w:cstheme="minorHAnsi"/>
          <w:bCs/>
          <w:lang w:val="en-US" w:eastAsia="en-GB"/>
        </w:rPr>
        <w:t xml:space="preserve"> of a patient with post-traumatic trigeminal </w:t>
      </w:r>
      <w:r>
        <w:rPr>
          <w:rFonts w:cstheme="minorHAnsi"/>
          <w:bCs/>
          <w:lang w:val="en-US" w:eastAsia="en-GB"/>
        </w:rPr>
        <w:t>neuropathic pain</w:t>
      </w:r>
      <w:r w:rsidR="0060240D">
        <w:rPr>
          <w:rFonts w:cstheme="minorHAnsi"/>
          <w:bCs/>
          <w:lang w:val="en-US" w:eastAsia="en-GB"/>
        </w:rPr>
        <w:t xml:space="preserve"> (PTNP)</w:t>
      </w:r>
      <w:r w:rsidRPr="0046548C">
        <w:rPr>
          <w:rFonts w:cstheme="minorHAnsi"/>
          <w:bCs/>
          <w:lang w:val="en-US" w:eastAsia="en-GB"/>
        </w:rPr>
        <w:t>.</w:t>
      </w:r>
      <w:r>
        <w:rPr>
          <w:rFonts w:cstheme="minorHAnsi"/>
          <w:bCs/>
          <w:lang w:val="en-US" w:eastAsia="en-GB"/>
        </w:rPr>
        <w:t xml:space="preserve"> </w:t>
      </w:r>
      <w:r w:rsidRPr="006C35DF">
        <w:rPr>
          <w:rFonts w:cstheme="minorHAnsi"/>
          <w:bCs/>
          <w:lang w:val="en-US" w:eastAsia="en-GB"/>
        </w:rPr>
        <w:t xml:space="preserve">Neuropathic pain has been recently redeﬁned as pain arising as a direct consequence of any lesion or disease aﬀecting the somatosensory system </w:t>
      </w:r>
      <w:r w:rsidRPr="006C35DF">
        <w:rPr>
          <w:rFonts w:cstheme="minorHAnsi"/>
          <w:bCs/>
          <w:lang w:val="en-US" w:eastAsia="en-GB"/>
        </w:rPr>
        <w:fldChar w:fldCharType="begin" w:fldLock="1"/>
      </w:r>
      <w:r w:rsidRPr="006C35DF">
        <w:rPr>
          <w:rFonts w:cstheme="minorHAnsi"/>
          <w:bCs/>
          <w:lang w:val="en-US" w:eastAsia="en-GB"/>
        </w:rPr>
        <w:instrText>ADDIN CSL_CITATION {"citationItems":[{"id":"ITEM-1","itemData":{"DOI":"10.1016/j.pain.2010.07.031","ISSN":"1872-6623 (Electronic)","PMID":"20851519","abstract":"This is a revision of guidelines, originally published in 2004, for the assessment  of patients with neuropathic pain. Neuropathic pain is defined as pain arising as a direct consequence of a lesion or disease affecting the somatosensory system either at peripheral or central level. Screening questionnaires are suitable for identifying potential patients with neuropathic pain, but further validation of them is needed for epidemiological purposes. Clinical examination, including accurate sensory examination, is the basis of neuropathic pain diagnosis. For more accurate sensory profiling, quantitative sensory testing is recommended for selected cases in clinic, including the diagnosis of small fiber neuropathies and for research purposes. Measurement of trigeminal reflexes mediated by A-beta fibers can be used to differentiate symptomatic trigeminal neuralgia from classical trigeminal neuralgia. Measurement of laser-evoked potentials is useful for assessing function of the A-delta fiber pathways in patients with neuropathic pain. Functional brain imaging is not currently useful for individual patients in clinical practice, but is an interesting research tool. Skin biopsy to measure the intraepidermal nerve fiber density should be performed in patients with clinical signs of small fiber dysfunction. The intensity of pain and treatment effect (both in clinic and trials) should be assessed with numerical rating scale or visual analog scale. For future neuropathic pain trials, pain relief scales, patient and clinician global impression of change, the proportion of responders (50% and 30% pain relief), validated neuropathic pain quality measures and assessment of sleep, mood, functional capacity and quality of life are recommended.","author":[{"dropping-particle":"","family":"Haanpää","given":"Maija","non-dropping-particle":"","parse-names":false,"suffix":""},{"dropping-particle":"","family":"Attal","given":"Nadine","non-dropping-particle":"","parse-names":false,"suffix":""},{"dropping-particle":"","family":"Backonja","given":"Miroslav","non-dropping-particle":"","parse-names":false,"suffix":""},{"dropping-particle":"","family":"Baron","given":"Ralf","non-dropping-particle":"","parse-names":false,"suffix":""},{"dropping-particle":"","family":"Bennett","given":"Michael","non-dropping-particle":"","parse-names":false,"suffix":""},{"dropping-particle":"","family":"Bouhassira","given":"Didier","non-dropping-particle":"","parse-names":false,"suffix":""},{"dropping-particle":"","family":"Cruccu","given":"Giorgio","non-dropping-particle":"","parse-names":false,"suffix":""},{"dropping-particle":"","family":"Hansson","given":"Per","non-dropping-particle":"","parse-names":false,"suffix":""},{"dropping-particle":"","family":"Haythornthwaite","given":"Jennifer A","non-dropping-particle":"","parse-names":false,"suffix":""},{"dropping-particle":"","family":"Iannetti","given":"Gian Domenico","non-dropping-particle":"","parse-names":false,"suffix":""},{"dropping-particle":"","family":"Jensen","given":"Troels S","non-dropping-particle":"","parse-names":false,"suffix":""},{"dropping-particle":"","family":"Kauppila","given":"Timo","non-dropping-particle":"","parse-names":false,"suffix":""},{"dropping-particle":"","family":"Nurmikko","given":"Turo J","non-dropping-particle":"","parse-names":false,"suffix":""},{"dropping-particle":"","family":"Rice","given":"Andew S C","non-dropping-particle":"","parse-names":false,"suffix":""},{"dropping-particle":"","family":"Rowbotham","given":"Michael","non-dropping-particle":"","parse-names":false,"suffix":""},{"dropping-particle":"","family":"Serra","given":"Jordi","non-dropping-particle":"","parse-names":false,"suffix":""},{"dropping-particle":"","family":"Sommer","given":"Claudia","non-dropping-particle":"","parse-names":false,"suffix":""},{"dropping-particle":"","family":"Smith","given":"Blair H","non-dropping-particle":"","parse-names":false,"suffix":""},{"dropping-particle":"","family":"Treede","given":"Rolf-Detlef","non-dropping-particle":"","parse-names":false,"suffix":""}],"container-title":"Pain","id":"ITEM-1","issue":"1","issued":{"date-parts":[["2011","1"]]},"language":"eng","page":"14-27","publisher-place":"United States","title":"NeuPSIG guidelines on neuropathic pain assessment.","type":"article-journal","volume":"152"},"uris":["http://www.mendeley.com/documents/?uuid=ddcb06aa-af5c-4e37-ba96-6a2a0fb775cc"]}],"mendeley":{"formattedCitation":"(Haanpää et al., 2011)","plainTextFormattedCitation":"(Haanpää et al., 2011)","previouslyFormattedCitation":"(Haanpää et al., 2011)"},"properties":{"noteIndex":0},"schema":"https://github.com/citation-style-language/schema/raw/master/csl-citation.json"}</w:instrText>
      </w:r>
      <w:r w:rsidRPr="006C35DF">
        <w:rPr>
          <w:rFonts w:cstheme="minorHAnsi"/>
          <w:bCs/>
          <w:lang w:val="en-US" w:eastAsia="en-GB"/>
        </w:rPr>
        <w:fldChar w:fldCharType="separate"/>
      </w:r>
      <w:r w:rsidRPr="006C35DF">
        <w:rPr>
          <w:rFonts w:cstheme="minorHAnsi"/>
          <w:bCs/>
          <w:noProof/>
          <w:lang w:val="en-US" w:eastAsia="en-GB"/>
        </w:rPr>
        <w:t>(Haanpää et al., 2011)</w:t>
      </w:r>
      <w:r w:rsidRPr="006C35DF">
        <w:rPr>
          <w:rFonts w:cstheme="minorHAnsi"/>
          <w:bCs/>
          <w:lang w:val="en-US" w:eastAsia="en-GB"/>
        </w:rPr>
        <w:fldChar w:fldCharType="end"/>
      </w:r>
      <w:r w:rsidRPr="006C35DF">
        <w:rPr>
          <w:rFonts w:cstheme="minorHAnsi"/>
          <w:bCs/>
          <w:lang w:val="en-US" w:eastAsia="en-GB"/>
        </w:rPr>
        <w:t xml:space="preserve">. </w:t>
      </w:r>
      <w:r>
        <w:rPr>
          <w:rFonts w:cstheme="minorHAnsi"/>
          <w:bCs/>
          <w:lang w:val="en-US" w:eastAsia="en-GB"/>
        </w:rPr>
        <w:t>Apart from being post-traumatic, t</w:t>
      </w:r>
      <w:r w:rsidRPr="006C35DF">
        <w:rPr>
          <w:rFonts w:cstheme="minorHAnsi"/>
          <w:bCs/>
          <w:lang w:val="en-US" w:eastAsia="en-GB"/>
        </w:rPr>
        <w:t>he most common disease</w:t>
      </w:r>
      <w:r>
        <w:rPr>
          <w:rFonts w:cstheme="minorHAnsi"/>
          <w:bCs/>
          <w:lang w:val="en-US" w:eastAsia="en-GB"/>
        </w:rPr>
        <w:t>s</w:t>
      </w:r>
      <w:r w:rsidRPr="006C35DF">
        <w:rPr>
          <w:rFonts w:cstheme="minorHAnsi"/>
          <w:bCs/>
          <w:lang w:val="en-US" w:eastAsia="en-GB"/>
        </w:rPr>
        <w:t xml:space="preserve"> related </w:t>
      </w:r>
      <w:r>
        <w:rPr>
          <w:rFonts w:cstheme="minorHAnsi"/>
          <w:bCs/>
          <w:lang w:val="en-US" w:eastAsia="en-GB"/>
        </w:rPr>
        <w:t xml:space="preserve">with </w:t>
      </w:r>
      <w:r w:rsidRPr="006C35DF">
        <w:rPr>
          <w:rFonts w:cstheme="minorHAnsi"/>
          <w:bCs/>
          <w:lang w:val="en-US" w:eastAsia="en-GB"/>
        </w:rPr>
        <w:t xml:space="preserve">neuropathic pain </w:t>
      </w:r>
      <w:r>
        <w:rPr>
          <w:rFonts w:cstheme="minorHAnsi"/>
          <w:bCs/>
          <w:lang w:val="en-US" w:eastAsia="en-GB"/>
        </w:rPr>
        <w:t>are</w:t>
      </w:r>
      <w:r w:rsidRPr="006C35DF">
        <w:rPr>
          <w:rFonts w:cstheme="minorHAnsi"/>
          <w:bCs/>
          <w:lang w:val="en-US" w:eastAsia="en-GB"/>
        </w:rPr>
        <w:t xml:space="preserve"> diabetes, HIV, multiple sclerosis and chemotherapy which rarely occur in the head and neck region </w:t>
      </w:r>
      <w:r w:rsidRPr="006C35DF">
        <w:rPr>
          <w:rFonts w:cstheme="minorHAnsi"/>
          <w:bCs/>
          <w:lang w:val="en-US" w:eastAsia="en-GB"/>
        </w:rPr>
        <w:fldChar w:fldCharType="begin" w:fldLock="1"/>
      </w:r>
      <w:r w:rsidRPr="006C35DF">
        <w:rPr>
          <w:rFonts w:cstheme="minorHAnsi"/>
          <w:bCs/>
          <w:lang w:val="en-US" w:eastAsia="en-GB"/>
        </w:rPr>
        <w:instrText>ADDIN CSL_CITATION {"citationItems":[{"id":"ITEM-1","itemData":{"DOI":"10.1038/nrdp.2017.2","ISBN":"978-0-08-045046-9","ISSN":"2056-676X","PMID":"28205574","abstract":"Neuropathic pain is caused by a lesion or disease of the somatosensory system, including peripheral fibres (A$beta, A$delta and C fibres) and central neurons, and affects 7-10 of the general population. Multiple causes of neuropathic pain have been described and its incidence is likely to increase owing to the ageing global population, increased incidence of diabetes mellitus and improved survival from cancer after chemotherapy. Indeed, imbalances between excitatory and inhibitory somatosensory signalling, alterations in ion channels and variability in the way that pain messages are modulated in the central nervous system all have been implicated in neuropathic pain. The burden of chronic neuropathic pain seems to be related to the complexity of neuropathic symptoms, poor outcomes and difficult treatment decisions. Importantly, quality of life is impaired in patients with neuropathic pain owing to increased drug prescriptions and visits to health care providers, as well as the morbidity from the pain itself and the inciting disease. Despite challenges, progress in the understanding of the pathophysiology of neuropathic pain is spurring the development of new diagnostic procedures and personalized interventions, which emphasize the need for a multidisciplinary approach to the management of neuropathic pain.","author":[{"dropping-particle":"","family":"Colloca","given":"Luana","non-dropping-particle":"","parse-names":false,"suffix":""},{"dropping-particle":"","family":"Ludman","given":"Taylor","non-dropping-particle":"","parse-names":false,"suffix":""},{"dropping-particle":"","family":"Bouhassira","given":"Didier","non-dropping-particle":"","parse-names":false,"suffix":""},{"dropping-particle":"","family":"Baron","given":"Ralf","non-dropping-particle":"","parse-names":false,"suffix":""},{"dropping-particle":"","family":"Dickenson","given":"Anthony H.","non-dropping-particle":"","parse-names":false,"suffix":""},{"dropping-particle":"","family":"Yarnitsky","given":"David","non-dropping-particle":"","parse-names":false,"suffix":""},{"dropping-particle":"","family":"Freeman","given":"Roy","non-dropping-particle":"","parse-names":false,"suffix":""},{"dropping-particle":"","family":"Truini","given":"Andrea","non-dropping-particle":"","parse-names":false,"suffix":""},{"dropping-particle":"","family":"Attal","given":"Nadine","non-dropping-particle":"","parse-names":false,"suffix":""},{"dropping-particle":"","family":"Finnerup","given":"Nanna B.","non-dropping-particle":"","parse-names":false,"suffix":""},{"dropping-particle":"","family":"Eccleston","given":"Christopher","non-dropping-particle":"","parse-names":false,"suffix":""},{"dropping-particle":"","family":"Kalso","given":"Eija","non-dropping-particle":"","parse-names":false,"suffix":""},{"dropping-particle":"","family":"Bennett","given":"David L.H.","non-dropping-particle":"","parse-names":false,"suffix":""},{"dropping-particle":"","family":"Dworkin","given":"Robert H.","non-dropping-particle":"","parse-names":false,"suffix":""},{"dropping-particle":"","family":"Raja","given":"Srinivasa N.","non-dropping-particle":"","parse-names":false,"suffix":""}],"container-title":"Nature Reviews Disease Primers","id":"ITEM-1","issue":"1","issued":{"date-parts":[["2017","12","16"]]},"page":"17002","publisher":"Macmillan Publishers Limited","title":"Neuropathic pain","type":"article-journal","volume":"3"},"uris":["http://www.mendeley.com/documents/?uuid=e4e13045-c769-418a-9e6d-4973227617d6"]}],"mendeley":{"formattedCitation":"(Colloca et al., 2017)","plainTextFormattedCitation":"(Colloca et al., 2017)","previouslyFormattedCitation":"(Colloca et al., 2017)"},"properties":{"noteIndex":0},"schema":"https://github.com/citation-style-language/schema/raw/master/csl-citation.json"}</w:instrText>
      </w:r>
      <w:r w:rsidRPr="006C35DF">
        <w:rPr>
          <w:rFonts w:cstheme="minorHAnsi"/>
          <w:bCs/>
          <w:lang w:val="en-US" w:eastAsia="en-GB"/>
        </w:rPr>
        <w:fldChar w:fldCharType="separate"/>
      </w:r>
      <w:r w:rsidRPr="006C35DF">
        <w:rPr>
          <w:rFonts w:cstheme="minorHAnsi"/>
          <w:bCs/>
          <w:noProof/>
          <w:lang w:val="en-US" w:eastAsia="en-GB"/>
        </w:rPr>
        <w:t>(Colloca et al., 2017)</w:t>
      </w:r>
      <w:r w:rsidRPr="006C35DF">
        <w:rPr>
          <w:rFonts w:cstheme="minorHAnsi"/>
          <w:bCs/>
          <w:lang w:val="en-US" w:eastAsia="en-GB"/>
        </w:rPr>
        <w:fldChar w:fldCharType="end"/>
      </w:r>
      <w:r w:rsidRPr="006C35DF">
        <w:rPr>
          <w:rFonts w:cstheme="minorHAnsi"/>
          <w:bCs/>
          <w:lang w:val="en-US" w:eastAsia="en-GB"/>
        </w:rPr>
        <w:t xml:space="preserve">. </w:t>
      </w:r>
    </w:p>
    <w:p w14:paraId="5F19B258" w14:textId="5B4C80A3" w:rsidR="003C6750" w:rsidRDefault="003C6750" w:rsidP="003C6750">
      <w:pPr>
        <w:jc w:val="both"/>
        <w:rPr>
          <w:rFonts w:cstheme="minorHAnsi"/>
          <w:bCs/>
          <w:lang w:val="en-US"/>
        </w:rPr>
      </w:pPr>
      <w:r>
        <w:rPr>
          <w:rFonts w:cstheme="minorHAnsi"/>
          <w:bCs/>
          <w:lang w:val="en-US"/>
        </w:rPr>
        <w:t xml:space="preserve">Recently, the first edition of the International Classification of Orofacial Pain (ICOP) was published accompanied by its </w:t>
      </w:r>
      <w:r w:rsidRPr="006C35DF">
        <w:rPr>
          <w:rFonts w:cstheme="minorHAnsi"/>
          <w:bCs/>
          <w:lang w:val="en-US"/>
        </w:rPr>
        <w:t>diagnostic criteria</w:t>
      </w:r>
      <w:r>
        <w:rPr>
          <w:rFonts w:cstheme="minorHAnsi"/>
          <w:bCs/>
          <w:lang w:val="en-US"/>
        </w:rPr>
        <w:t>.</w:t>
      </w:r>
      <w:r w:rsidRPr="006C35DF">
        <w:rPr>
          <w:rFonts w:cstheme="minorHAnsi"/>
          <w:bCs/>
          <w:lang w:val="en-US"/>
        </w:rPr>
        <w:fldChar w:fldCharType="begin" w:fldLock="1"/>
      </w:r>
      <w:r w:rsidRPr="006C35DF">
        <w:rPr>
          <w:rFonts w:cstheme="minorHAnsi"/>
          <w:bCs/>
          <w:lang w:val="en-US"/>
        </w:rPr>
        <w:instrText>ADDIN CSL_CITATION {"citationItems":[{"id":"ITEM-1","itemData":{"DOI":"10.1177/0333102419893823","ISSN":"1468-2982 (Electronic)","PMID":"32103673","container-title":"Cephalalgia : an international journal of headache","id":"ITEM-1","issue":"2","issued":{"date-parts":[["2020","2"]]},"language":"eng","page":"129-221","publisher-place":"England","title":"International Classification of Orofacial Pain, 1st edition (ICOP).","type":"article-journal","volume":"40"},"uris":["http://www.mendeley.com/documents/?uuid=585e842a-dc69-4810-af48-17e807f5d634"]}],"mendeley":{"formattedCitation":"(“International Classification of Orofacial Pain, 1st Edition (ICOP).,” 2020)","plainTextFormattedCitation":"(“International Classification of Orofacial Pain, 1st Edition (ICOP).,” 2020)","previouslyFormattedCitation":"(“International Classification of Orofacial Pain, 1st Edition (ICOP).,” 2020)"},"properties":{"noteIndex":0},"schema":"https://github.com/citation-style-language/schema/raw/master/csl-citation.json"}</w:instrText>
      </w:r>
      <w:r w:rsidRPr="006C35DF">
        <w:rPr>
          <w:rFonts w:cstheme="minorHAnsi"/>
          <w:bCs/>
          <w:lang w:val="en-US"/>
        </w:rPr>
        <w:fldChar w:fldCharType="separate"/>
      </w:r>
      <w:r w:rsidRPr="006C35DF">
        <w:rPr>
          <w:rFonts w:cstheme="minorHAnsi"/>
          <w:bCs/>
          <w:noProof/>
          <w:lang w:val="en-US"/>
        </w:rPr>
        <w:t>(“International Classification of Orofacial Pain, 1st Edition (ICOP).,” 2020)</w:t>
      </w:r>
      <w:r w:rsidRPr="006C35DF">
        <w:rPr>
          <w:rFonts w:cstheme="minorHAnsi"/>
          <w:bCs/>
          <w:lang w:val="en-US"/>
        </w:rPr>
        <w:fldChar w:fldCharType="end"/>
      </w:r>
      <w:r w:rsidRPr="006C35DF">
        <w:rPr>
          <w:rFonts w:cstheme="minorHAnsi"/>
          <w:bCs/>
          <w:lang w:val="en-US"/>
        </w:rPr>
        <w:t>.</w:t>
      </w:r>
      <w:r>
        <w:rPr>
          <w:rFonts w:cstheme="minorHAnsi"/>
          <w:bCs/>
          <w:lang w:val="en-US"/>
        </w:rPr>
        <w:t xml:space="preserve"> Post-traumatic trigeminal neuropathic pain was defined as unilateral or bilateral facial or oral pain caused by trauma to the trigeminal nerve(s), with other symptoms and/or clinical signs of trigeminal nerve dysfunction and persisting or recurring for more than 3 months. The diagnostic criteria are summarized in Table 1.  </w:t>
      </w:r>
    </w:p>
    <w:p w14:paraId="77DBB8D4" w14:textId="29A2F689" w:rsidR="003C6750" w:rsidRPr="00B550AB" w:rsidRDefault="003C6750" w:rsidP="003C6750">
      <w:pPr>
        <w:jc w:val="both"/>
        <w:rPr>
          <w:rFonts w:cstheme="minorHAnsi"/>
          <w:bCs/>
          <w:lang w:val="en-US"/>
        </w:rPr>
      </w:pPr>
      <w:r>
        <w:rPr>
          <w:rFonts w:cstheme="minorHAnsi"/>
          <w:bCs/>
          <w:lang w:val="en-US"/>
        </w:rPr>
        <w:t>Table</w:t>
      </w:r>
      <w:r w:rsidR="00285314">
        <w:rPr>
          <w:rFonts w:cstheme="minorHAnsi"/>
          <w:bCs/>
          <w:lang w:val="en-US"/>
        </w:rPr>
        <w:t xml:space="preserve"> 1</w:t>
      </w:r>
      <w:r>
        <w:rPr>
          <w:rFonts w:cstheme="minorHAnsi"/>
          <w:bCs/>
          <w:lang w:val="en-US"/>
        </w:rPr>
        <w:t xml:space="preserve">. Diagnostic criteria of </w:t>
      </w:r>
      <w:r>
        <w:rPr>
          <w:rFonts w:cstheme="minorHAnsi"/>
          <w:bCs/>
        </w:rPr>
        <w:t>p</w:t>
      </w:r>
      <w:r w:rsidRPr="006C35DF">
        <w:rPr>
          <w:rFonts w:cstheme="minorHAnsi"/>
          <w:bCs/>
        </w:rPr>
        <w:t>ost-traumatic trigeminal neuropathic pain</w:t>
      </w:r>
      <w:r>
        <w:rPr>
          <w:rFonts w:cstheme="minorHAnsi"/>
          <w:bCs/>
        </w:rPr>
        <w:t xml:space="preserve"> according to the recent ICOP version 1.</w:t>
      </w:r>
    </w:p>
    <w:tbl>
      <w:tblPr>
        <w:tblStyle w:val="Tabelraster"/>
        <w:tblW w:w="0" w:type="auto"/>
        <w:tblLook w:val="04A0" w:firstRow="1" w:lastRow="0" w:firstColumn="1" w:lastColumn="0" w:noHBand="0" w:noVBand="1"/>
      </w:tblPr>
      <w:tblGrid>
        <w:gridCol w:w="9016"/>
      </w:tblGrid>
      <w:tr w:rsidR="003C6750" w:rsidRPr="006C35DF" w14:paraId="361B2B52" w14:textId="77777777" w:rsidTr="00B7130A">
        <w:tc>
          <w:tcPr>
            <w:tcW w:w="9016" w:type="dxa"/>
          </w:tcPr>
          <w:p w14:paraId="434E8398" w14:textId="77777777" w:rsidR="003C6750" w:rsidRPr="00D136F0" w:rsidRDefault="003C6750" w:rsidP="00B7130A">
            <w:pPr>
              <w:jc w:val="both"/>
              <w:rPr>
                <w:rFonts w:asciiTheme="minorHAnsi" w:hAnsiTheme="minorHAnsi" w:cstheme="minorHAnsi"/>
                <w:bCs/>
                <w:szCs w:val="18"/>
              </w:rPr>
            </w:pPr>
            <w:r w:rsidRPr="00D136F0">
              <w:rPr>
                <w:rFonts w:asciiTheme="minorHAnsi" w:hAnsiTheme="minorHAnsi" w:cstheme="minorHAnsi"/>
                <w:bCs/>
                <w:szCs w:val="18"/>
              </w:rPr>
              <w:t>Previously used terms: anaesthesia dolorosa; painful post-traumatic trigeminal neuropathy.</w:t>
            </w:r>
          </w:p>
        </w:tc>
      </w:tr>
      <w:tr w:rsidR="003C6750" w:rsidRPr="006C35DF" w14:paraId="4D05523D" w14:textId="77777777" w:rsidTr="00B7130A">
        <w:tc>
          <w:tcPr>
            <w:tcW w:w="9016" w:type="dxa"/>
          </w:tcPr>
          <w:p w14:paraId="4B59BF1B" w14:textId="77777777" w:rsidR="003C6750" w:rsidRPr="00D136F0" w:rsidRDefault="003C6750" w:rsidP="00B7130A">
            <w:pPr>
              <w:jc w:val="both"/>
              <w:rPr>
                <w:rFonts w:asciiTheme="minorHAnsi" w:hAnsiTheme="minorHAnsi" w:cstheme="minorHAnsi"/>
                <w:bCs/>
                <w:szCs w:val="18"/>
              </w:rPr>
            </w:pPr>
            <w:r w:rsidRPr="00D136F0">
              <w:rPr>
                <w:rFonts w:asciiTheme="minorHAnsi" w:hAnsiTheme="minorHAnsi" w:cstheme="minorHAnsi"/>
                <w:bCs/>
                <w:szCs w:val="18"/>
              </w:rPr>
              <w:t xml:space="preserve">A. Pain, in a neuroanatomically plausible area within the distribution(s) of one or both trigeminal nerve(s), persisting or recurring for &gt;3 months and fulﬁlling criteria C and D </w:t>
            </w:r>
          </w:p>
        </w:tc>
      </w:tr>
      <w:tr w:rsidR="003C6750" w:rsidRPr="006C35DF" w14:paraId="4AAC1737" w14:textId="77777777" w:rsidTr="00B7130A">
        <w:tc>
          <w:tcPr>
            <w:tcW w:w="9016" w:type="dxa"/>
          </w:tcPr>
          <w:p w14:paraId="6030C96C" w14:textId="77777777" w:rsidR="003C6750" w:rsidRPr="00D136F0" w:rsidRDefault="003C6750" w:rsidP="00B7130A">
            <w:pPr>
              <w:jc w:val="both"/>
              <w:rPr>
                <w:rFonts w:asciiTheme="minorHAnsi" w:hAnsiTheme="minorHAnsi" w:cstheme="minorHAnsi"/>
                <w:bCs/>
                <w:szCs w:val="18"/>
              </w:rPr>
            </w:pPr>
            <w:r w:rsidRPr="00D136F0">
              <w:rPr>
                <w:rFonts w:asciiTheme="minorHAnsi" w:hAnsiTheme="minorHAnsi" w:cstheme="minorHAnsi"/>
                <w:bCs/>
                <w:szCs w:val="18"/>
              </w:rPr>
              <w:t xml:space="preserve">B. Both of the following: </w:t>
            </w:r>
          </w:p>
        </w:tc>
      </w:tr>
      <w:tr w:rsidR="003C6750" w:rsidRPr="006C35DF" w14:paraId="6A0B1773" w14:textId="77777777" w:rsidTr="00B7130A">
        <w:tc>
          <w:tcPr>
            <w:tcW w:w="9016" w:type="dxa"/>
          </w:tcPr>
          <w:p w14:paraId="470370CC" w14:textId="77777777" w:rsidR="003C6750" w:rsidRPr="00D136F0" w:rsidRDefault="003C6750" w:rsidP="003C6750">
            <w:pPr>
              <w:pStyle w:val="Lijstalinea"/>
              <w:numPr>
                <w:ilvl w:val="0"/>
                <w:numId w:val="4"/>
              </w:numPr>
              <w:jc w:val="both"/>
              <w:rPr>
                <w:rFonts w:asciiTheme="minorHAnsi" w:eastAsia="MS Mincho" w:hAnsiTheme="minorHAnsi" w:cstheme="minorHAnsi"/>
                <w:bCs/>
                <w:sz w:val="18"/>
                <w:szCs w:val="18"/>
              </w:rPr>
            </w:pPr>
            <w:r w:rsidRPr="00D136F0">
              <w:rPr>
                <w:rFonts w:asciiTheme="minorHAnsi" w:eastAsia="MS Mincho" w:hAnsiTheme="minorHAnsi" w:cstheme="minorHAnsi"/>
                <w:bCs/>
                <w:sz w:val="18"/>
                <w:szCs w:val="18"/>
              </w:rPr>
              <w:t xml:space="preserve">history of a mechanical, thermal, radiation or chemical injury to the peripheral trigeminal nerve(s) </w:t>
            </w:r>
          </w:p>
        </w:tc>
      </w:tr>
      <w:tr w:rsidR="003C6750" w:rsidRPr="006C35DF" w14:paraId="0CFC143B" w14:textId="77777777" w:rsidTr="00B7130A">
        <w:tc>
          <w:tcPr>
            <w:tcW w:w="9016" w:type="dxa"/>
          </w:tcPr>
          <w:p w14:paraId="468F92B5" w14:textId="77777777" w:rsidR="003C6750" w:rsidRPr="00D136F0" w:rsidRDefault="003C6750" w:rsidP="003C6750">
            <w:pPr>
              <w:pStyle w:val="Lijstalinea"/>
              <w:numPr>
                <w:ilvl w:val="0"/>
                <w:numId w:val="4"/>
              </w:numPr>
              <w:jc w:val="both"/>
              <w:rPr>
                <w:rFonts w:asciiTheme="minorHAnsi" w:eastAsia="MS Mincho" w:hAnsiTheme="minorHAnsi" w:cstheme="minorHAnsi"/>
                <w:bCs/>
                <w:sz w:val="18"/>
                <w:szCs w:val="18"/>
              </w:rPr>
            </w:pPr>
            <w:r w:rsidRPr="00D136F0">
              <w:rPr>
                <w:rFonts w:asciiTheme="minorHAnsi" w:eastAsia="MS Mincho" w:hAnsiTheme="minorHAnsi" w:cstheme="minorHAnsi"/>
                <w:bCs/>
                <w:sz w:val="18"/>
                <w:szCs w:val="18"/>
              </w:rPr>
              <w:t>diagnostic test conﬁrmation of a lesion of the peripheral trigeminal nerve(s) explaining the pain</w:t>
            </w:r>
          </w:p>
        </w:tc>
      </w:tr>
      <w:tr w:rsidR="003C6750" w:rsidRPr="006C35DF" w14:paraId="5DD26AF1" w14:textId="77777777" w:rsidTr="00B7130A">
        <w:tc>
          <w:tcPr>
            <w:tcW w:w="9016" w:type="dxa"/>
          </w:tcPr>
          <w:p w14:paraId="3DA0D32E" w14:textId="77777777" w:rsidR="003C6750" w:rsidRPr="00D136F0" w:rsidRDefault="003C6750" w:rsidP="00B7130A">
            <w:pPr>
              <w:jc w:val="both"/>
              <w:rPr>
                <w:rFonts w:asciiTheme="minorHAnsi" w:hAnsiTheme="minorHAnsi" w:cstheme="minorHAnsi"/>
                <w:bCs/>
                <w:szCs w:val="18"/>
              </w:rPr>
            </w:pPr>
            <w:r w:rsidRPr="00D136F0">
              <w:rPr>
                <w:rFonts w:asciiTheme="minorHAnsi" w:hAnsiTheme="minorHAnsi" w:cstheme="minorHAnsi"/>
                <w:bCs/>
                <w:szCs w:val="18"/>
              </w:rPr>
              <w:t xml:space="preserve">C. Onset within 6 months after the injury </w:t>
            </w:r>
          </w:p>
        </w:tc>
      </w:tr>
      <w:tr w:rsidR="003C6750" w:rsidRPr="006C35DF" w14:paraId="5E0029B5" w14:textId="77777777" w:rsidTr="00B7130A">
        <w:tc>
          <w:tcPr>
            <w:tcW w:w="9016" w:type="dxa"/>
          </w:tcPr>
          <w:p w14:paraId="6C5D9A95" w14:textId="77777777" w:rsidR="003C6750" w:rsidRPr="00D136F0" w:rsidRDefault="003C6750" w:rsidP="00B7130A">
            <w:pPr>
              <w:jc w:val="both"/>
              <w:rPr>
                <w:rFonts w:asciiTheme="minorHAnsi" w:hAnsiTheme="minorHAnsi" w:cstheme="minorHAnsi"/>
                <w:bCs/>
                <w:szCs w:val="18"/>
              </w:rPr>
            </w:pPr>
            <w:r w:rsidRPr="00D136F0">
              <w:rPr>
                <w:rFonts w:asciiTheme="minorHAnsi" w:hAnsiTheme="minorHAnsi" w:cstheme="minorHAnsi"/>
                <w:bCs/>
                <w:szCs w:val="18"/>
              </w:rPr>
              <w:t xml:space="preserve">D. Associated with somatosensory symptoms and/or signs in the same neuroanatomically plausible distribution </w:t>
            </w:r>
          </w:p>
        </w:tc>
      </w:tr>
      <w:tr w:rsidR="003C6750" w:rsidRPr="006C35DF" w14:paraId="6D54643F" w14:textId="77777777" w:rsidTr="00B7130A">
        <w:tc>
          <w:tcPr>
            <w:tcW w:w="9016" w:type="dxa"/>
          </w:tcPr>
          <w:p w14:paraId="474CEE07" w14:textId="77777777" w:rsidR="003C6750" w:rsidRPr="00D136F0" w:rsidRDefault="003C6750" w:rsidP="00B7130A">
            <w:pPr>
              <w:jc w:val="both"/>
              <w:rPr>
                <w:rFonts w:asciiTheme="minorHAnsi" w:hAnsiTheme="minorHAnsi" w:cstheme="minorHAnsi"/>
                <w:bCs/>
                <w:szCs w:val="18"/>
              </w:rPr>
            </w:pPr>
            <w:r w:rsidRPr="00D136F0">
              <w:rPr>
                <w:rFonts w:asciiTheme="minorHAnsi" w:hAnsiTheme="minorHAnsi" w:cstheme="minorHAnsi"/>
                <w:bCs/>
                <w:szCs w:val="18"/>
              </w:rPr>
              <w:t>E. Not better accounted for by another ICOP or ICHD-3 diagnosis.</w:t>
            </w:r>
          </w:p>
        </w:tc>
      </w:tr>
    </w:tbl>
    <w:p w14:paraId="5996BFB1" w14:textId="77777777" w:rsidR="003C6750" w:rsidRPr="006C35DF" w:rsidRDefault="003C6750" w:rsidP="003C6750">
      <w:pPr>
        <w:jc w:val="both"/>
        <w:rPr>
          <w:rFonts w:cstheme="minorHAnsi"/>
          <w:bCs/>
          <w:lang w:val="en-US"/>
        </w:rPr>
      </w:pPr>
    </w:p>
    <w:p w14:paraId="0744DE6B" w14:textId="4D55F681" w:rsidR="003C6750" w:rsidRPr="006C35DF" w:rsidRDefault="003C6750" w:rsidP="003C6750">
      <w:pPr>
        <w:jc w:val="both"/>
        <w:rPr>
          <w:rFonts w:cstheme="minorHAnsi"/>
          <w:bCs/>
        </w:rPr>
      </w:pPr>
      <w:r>
        <w:rPr>
          <w:rFonts w:cstheme="minorHAnsi"/>
          <w:bCs/>
        </w:rPr>
        <w:t>Tests that are considered valid</w:t>
      </w:r>
      <w:r w:rsidR="00285314">
        <w:rPr>
          <w:rFonts w:cstheme="minorHAnsi"/>
          <w:bCs/>
        </w:rPr>
        <w:t xml:space="preserve"> to diagnose </w:t>
      </w:r>
      <w:r w:rsidR="0060240D">
        <w:rPr>
          <w:rFonts w:cstheme="minorHAnsi"/>
          <w:bCs/>
        </w:rPr>
        <w:t>PTNP</w:t>
      </w:r>
      <w:r>
        <w:rPr>
          <w:rFonts w:cstheme="minorHAnsi"/>
          <w:bCs/>
        </w:rPr>
        <w:t xml:space="preserve"> are radiographic or surgical confirmation of nerve injury, nerve conduction study, laser-evoked potentials, blink tests, skin biopsies showing reduced nerve fib</w:t>
      </w:r>
      <w:r w:rsidR="0060240D">
        <w:rPr>
          <w:rFonts w:cstheme="minorHAnsi"/>
          <w:bCs/>
        </w:rPr>
        <w:t>re</w:t>
      </w:r>
      <w:r>
        <w:rPr>
          <w:rFonts w:cstheme="minorHAnsi"/>
          <w:bCs/>
        </w:rPr>
        <w:t xml:space="preserve"> terminals. However, all clinical and diagnostic aspects should be considered. An important side note: </w:t>
      </w:r>
      <w:r w:rsidR="0060240D">
        <w:rPr>
          <w:rFonts w:cstheme="minorHAnsi"/>
          <w:bCs/>
        </w:rPr>
        <w:t>radiation</w:t>
      </w:r>
      <w:r>
        <w:rPr>
          <w:rFonts w:cstheme="minorHAnsi"/>
          <w:bCs/>
        </w:rPr>
        <w:t xml:space="preserve">-induced nerve injury may appear beyond 3 </w:t>
      </w:r>
      <w:r>
        <w:rPr>
          <w:rFonts w:cstheme="minorHAnsi"/>
          <w:bCs/>
        </w:rPr>
        <w:lastRenderedPageBreak/>
        <w:t xml:space="preserve">months after irradiation but is still considered post-traumatic trigeminal neuropathic pain, </w:t>
      </w:r>
      <w:r w:rsidR="0060240D">
        <w:rPr>
          <w:rFonts w:cstheme="minorHAnsi"/>
          <w:bCs/>
        </w:rPr>
        <w:t>hence</w:t>
      </w:r>
      <w:r>
        <w:rPr>
          <w:rFonts w:cstheme="minorHAnsi"/>
          <w:bCs/>
        </w:rPr>
        <w:t xml:space="preserve"> the large window of onset considered.</w:t>
      </w:r>
    </w:p>
    <w:p w14:paraId="78155EAC" w14:textId="77777777" w:rsidR="003C6750" w:rsidRDefault="003C6750" w:rsidP="003C6750">
      <w:pPr>
        <w:pStyle w:val="Kop2"/>
      </w:pPr>
      <w:r>
        <w:t>Clinical assessment</w:t>
      </w:r>
    </w:p>
    <w:p w14:paraId="66DDE857" w14:textId="43710324" w:rsidR="003C6750" w:rsidRPr="006C35DF" w:rsidRDefault="003C6750" w:rsidP="003C6750">
      <w:pPr>
        <w:jc w:val="both"/>
        <w:rPr>
          <w:rFonts w:cstheme="minorHAnsi"/>
          <w:bCs/>
        </w:rPr>
      </w:pPr>
      <w:r w:rsidRPr="006C35DF">
        <w:rPr>
          <w:rFonts w:cstheme="minorHAnsi"/>
          <w:bCs/>
        </w:rPr>
        <w:t xml:space="preserve">When assessing patients with surgically induced nerve injuries we recommend a holistic approach </w:t>
      </w:r>
      <w:r w:rsidRPr="006C35DF">
        <w:rPr>
          <w:rFonts w:cstheme="minorHAnsi"/>
          <w:bCs/>
        </w:rPr>
        <w:fldChar w:fldCharType="begin" w:fldLock="1"/>
      </w:r>
      <w:r w:rsidRPr="006C35DF">
        <w:rPr>
          <w:rFonts w:cstheme="minorHAnsi"/>
          <w:bCs/>
        </w:rPr>
        <w:instrText>ADDIN CSL_CITATION {"citationItems":[{"id":"ITEM-1","itemData":{"ISBN":"4420329912","ISSN":"1752-2471","abstract":"Abstract The trigeminal nerve constitutes the largest sensory cortex representation in the brain compared with other sensory nerves. This is likely due to the fact that the trigeminal nerve underpins our very existence, as it sensorially protects, our five senses including the organs that provide sight, smell, taste, hearing, speech and meninges protecting our brain. Thus, when trigeminal nerve injuries occur, which in the main are preventable and painful, the majority of patients experience mixed symptoms including altered sensation, numbness, and ongoing or elicited neuropathic pain. These neuropathic features cause significant impact on the patients? ability to function, for example cold allodynia prevents the patient enjoying cold foods and drinks and undertaking out-door activities or mechanical allodynia frequently interferes with eating, speaking, kissing and sleep. The resultant chronic symptoms and functional impedance results in significant psychological morbidity. Prevention of nerve injuries related to local anaesthesia, endodontics, implants and third molar surgery is imperative as there is no magic bullet to repair these sensory nerve injuries with their related neuropathic pain. Some causes have higher levels of resolution (third molar surgery and local anaesthesia) some lower levels of resolution (implant surgery and endodontics) and many patient factors will dictate the prevalence of chronic neuropathic pain. The patient must have appropriate consent and their expectations managed with understanding the potential benefits and risks for their chosen interventions. The authors have aimed to provide an up to date evidence base for diagnosis and management of trigeminal nerve injuries.","author":[{"dropping-particle":"","family":"Renton","given":"Tara","non-dropping-particle":"","parse-names":false,"suffix":""},{"dropping-particle":"","family":"Cruyssen","given":"Frederic","non-dropping-particle":"Van der","parse-names":false,"suffix":""}],"container-title":"Oral Surgery","id":"ITEM-1","issue":"n/a","issued":{"date-parts":[["2019","12","19"]]},"page":"ors.12465","title":"Diagnosis, pathophysiology, management and future issues of trigeminal surgical nerve injuries","type":"article-journal","volume":"n/a"},"uris":["http://www.mendeley.com/documents/?uuid=b4da5bbc-cbdf-4409-9cf3-c5faba240d90"]}],"mendeley":{"formattedCitation":"(Tara Renton &amp; Van der Cruyssen, 2019)","plainTextFormattedCitation":"(Tara Renton &amp; Van der Cruyssen, 2019)","previouslyFormattedCitation":"(Tara Renton &amp; Van der Cruyssen, 2019)"},"properties":{"noteIndex":0},"schema":"https://github.com/citation-style-language/schema/raw/master/csl-citation.json"}</w:instrText>
      </w:r>
      <w:r w:rsidRPr="006C35DF">
        <w:rPr>
          <w:rFonts w:cstheme="minorHAnsi"/>
          <w:bCs/>
        </w:rPr>
        <w:fldChar w:fldCharType="separate"/>
      </w:r>
      <w:r w:rsidRPr="006C35DF">
        <w:rPr>
          <w:rFonts w:cstheme="minorHAnsi"/>
          <w:bCs/>
          <w:noProof/>
        </w:rPr>
        <w:t>(Tara Renton &amp; Van der Cruyssen, 2019)</w:t>
      </w:r>
      <w:r w:rsidRPr="006C35DF">
        <w:rPr>
          <w:rFonts w:cstheme="minorHAnsi"/>
          <w:bCs/>
        </w:rPr>
        <w:fldChar w:fldCharType="end"/>
      </w:r>
      <w:r w:rsidRPr="006C35DF">
        <w:rPr>
          <w:rFonts w:cstheme="minorHAnsi"/>
          <w:bCs/>
        </w:rPr>
        <w:t>. We must treat the patient with the nerve injury</w:t>
      </w:r>
      <w:r w:rsidR="00166398">
        <w:rPr>
          <w:rFonts w:cstheme="minorHAnsi"/>
          <w:bCs/>
        </w:rPr>
        <w:t>,</w:t>
      </w:r>
      <w:r w:rsidRPr="006C35DF">
        <w:rPr>
          <w:rFonts w:cstheme="minorHAnsi"/>
          <w:bCs/>
        </w:rPr>
        <w:t xml:space="preserve"> not just focus on the nerve injury</w:t>
      </w:r>
      <w:r>
        <w:rPr>
          <w:rFonts w:cstheme="minorHAnsi"/>
          <w:bCs/>
        </w:rPr>
        <w:t xml:space="preserve"> itself</w:t>
      </w:r>
      <w:r w:rsidRPr="006C35DF">
        <w:rPr>
          <w:rFonts w:cstheme="minorHAnsi"/>
          <w:bCs/>
        </w:rPr>
        <w:t xml:space="preserve">. Many of these patients have experienced an unexpected traumatic event which demands a thorough history taking and examination including attention for sensory testing and psychological assessment. These elements are necessary both in diagnosis and in the choice of therapy. </w:t>
      </w:r>
    </w:p>
    <w:p w14:paraId="09FCCDC4" w14:textId="032FBA5B" w:rsidR="00416F7B" w:rsidRDefault="00416F7B" w:rsidP="00416F7B">
      <w:pPr>
        <w:jc w:val="both"/>
        <w:rPr>
          <w:rFonts w:cstheme="minorHAnsi"/>
          <w:bCs/>
        </w:rPr>
      </w:pPr>
      <w:r w:rsidRPr="006C35DF">
        <w:rPr>
          <w:rFonts w:cstheme="minorHAnsi"/>
          <w:bCs/>
        </w:rPr>
        <w:t>The intensity of pain and treatment effect (both in clinic and trials) should be assessed with numerical rating scale or visual analogue scale. For future neuropathic pain trials, pain relief scales, patient and clinician global impression of change</w:t>
      </w:r>
      <w:r w:rsidR="008E6D11">
        <w:rPr>
          <w:rFonts w:cstheme="minorHAnsi"/>
          <w:bCs/>
        </w:rPr>
        <w:t xml:space="preserve"> and</w:t>
      </w:r>
      <w:r w:rsidRPr="006C35DF">
        <w:rPr>
          <w:rFonts w:cstheme="minorHAnsi"/>
          <w:bCs/>
        </w:rPr>
        <w:t xml:space="preserve"> the proportion of responders (50% and 30% pain relief)</w:t>
      </w:r>
      <w:r w:rsidR="008E6D11">
        <w:rPr>
          <w:rFonts w:cstheme="minorHAnsi"/>
          <w:bCs/>
        </w:rPr>
        <w:t xml:space="preserve"> are important measures</w:t>
      </w:r>
      <w:r w:rsidRPr="006C35DF">
        <w:rPr>
          <w:rFonts w:cstheme="minorHAnsi"/>
          <w:bCs/>
        </w:rPr>
        <w:t>.</w:t>
      </w:r>
      <w:r w:rsidR="008E6D11">
        <w:rPr>
          <w:rFonts w:cstheme="minorHAnsi"/>
          <w:bCs/>
        </w:rPr>
        <w:t xml:space="preserve"> </w:t>
      </w:r>
      <w:r w:rsidR="008E6D11" w:rsidRPr="006C35DF">
        <w:rPr>
          <w:rFonts w:cstheme="minorHAnsi"/>
          <w:bCs/>
        </w:rPr>
        <w:t>Pain may be reported to be moderate to severe intensity</w:t>
      </w:r>
      <w:r w:rsidR="008E6D11">
        <w:rPr>
          <w:rFonts w:cstheme="minorHAnsi"/>
          <w:bCs/>
        </w:rPr>
        <w:t>. T</w:t>
      </w:r>
      <w:r w:rsidR="008E6D11" w:rsidRPr="006C35DF">
        <w:rPr>
          <w:rFonts w:cstheme="minorHAnsi"/>
          <w:bCs/>
        </w:rPr>
        <w:t xml:space="preserve">he pain characteristic is often reported as constant or intermittent burning or elicited and or spontaneous neuralgia. Most cases are continuous, but may report superimposed paroxysmal pain attacks </w:t>
      </w:r>
      <w:r w:rsidR="008E6D11" w:rsidRPr="006C35DF">
        <w:rPr>
          <w:rFonts w:cstheme="minorHAnsi"/>
          <w:bCs/>
        </w:rPr>
        <w:fldChar w:fldCharType="begin" w:fldLock="1"/>
      </w:r>
      <w:r w:rsidR="008E6D11">
        <w:rPr>
          <w:rFonts w:cstheme="minorHAnsi"/>
          <w:bCs/>
        </w:rPr>
        <w:instrText>ADDIN CSL_CITATION {"citationItems":[{"id":"ITEM-1","itemData":{"ISSN":"1064-6655","PMID":"22292140","abstract":"AIMS To field-test carefully designed criteria for pain following trigeminal nerve trauma. METHODS In order to characterize the clinical phenotype, posttraumatic pain patients were studied and compared with classical trigeminal neuralgia patients (CTN, defined according to the International Headache Society's criteria). Based on etiology and features, trigeminal pain following trauma was defined as \"peripheral painful traumatic trigeminal neuropathy\" (PPTTN). Data were analyzed with t tests, ANOVA, chi-square, and regression analyses. RESULTS A total of 145 patients were included: 91 with PPTTN and 54 with CTN. Findings indicated that PPTTN criteria are clinically applicable in the detection and characterization of relevant cases. In contrast to accepted characteristics for PPTTN, the observed profile included both continuous and paroxysmal pain that was stabbing and/or burning. The quality, duration, and intensity were significantly different from the CTN patients (P &lt; .05). PPTTN was consistently accompanied by trigeminal sensory abnormalities (96%) that were mostly allodynia, hyperor hypoalgesia, and only 1% of the PPTTN cases had anesthesia. CONCLUSION Overall, the proposed PPTTN criteria have proven to be clinically useful. In view of these results, modified PPTTN diagnostic criteria are proposed for use in future research.","author":[{"dropping-particle":"","family":"Benoliel","given":"Rafael","non-dropping-particle":"","parse-names":false,"suffix":""},{"dropping-particle":"","family":"Zadik","given":"Yehuda","non-dropping-particle":"","parse-names":false,"suffix":""},{"dropping-particle":"","family":"Eliav","given":"Eli","non-dropping-particle":"","parse-names":false,"suffix":""},{"dropping-particle":"","family":"Sharav","given":"Yair","non-dropping-particle":"","parse-names":false,"suffix":""}],"container-title":"Journal of orofacial pain","id":"ITEM-1","issue":"1","issued":{"date-parts":[["2012"]]},"page":"49-58","title":"Peripheral painful traumatic trigeminal neuropathy: clinical features in 91 cases and proposal of novel diagnostic criteria.","type":"article-journal","volume":"26"},"uris":["http://www.mendeley.com/documents/?uuid=85a1234d-aad8-4a8a-9ace-29a23cb5dfc0"]}],"mendeley":{"formattedCitation":"(Benoliel et al., 2012)","plainTextFormattedCitation":"(Benoliel et al., 2012)","previouslyFormattedCitation":"(Benoliel et al., 2012)"},"properties":{"noteIndex":0},"schema":"https://github.com/citation-style-language/schema/raw/master/csl-citation.json"}</w:instrText>
      </w:r>
      <w:r w:rsidR="008E6D11" w:rsidRPr="006C35DF">
        <w:rPr>
          <w:rFonts w:cstheme="minorHAnsi"/>
          <w:bCs/>
        </w:rPr>
        <w:fldChar w:fldCharType="separate"/>
      </w:r>
      <w:r w:rsidR="008E6D11" w:rsidRPr="002A0DBF">
        <w:rPr>
          <w:rFonts w:cstheme="minorHAnsi"/>
          <w:bCs/>
          <w:noProof/>
        </w:rPr>
        <w:t>(Benoliel et al., 2012)</w:t>
      </w:r>
      <w:r w:rsidR="008E6D11" w:rsidRPr="006C35DF">
        <w:rPr>
          <w:rFonts w:cstheme="minorHAnsi"/>
          <w:bCs/>
        </w:rPr>
        <w:fldChar w:fldCharType="end"/>
      </w:r>
      <w:r w:rsidR="008E6D11" w:rsidRPr="006C35DF">
        <w:rPr>
          <w:rFonts w:cstheme="minorHAnsi"/>
          <w:bCs/>
        </w:rPr>
        <w:t xml:space="preserve">. The pain may be short lasting and neuralgiform elicited due to touch or thermal change usually to cold, in the neuropathic domain, mimicking </w:t>
      </w:r>
      <w:r w:rsidR="008E6D11">
        <w:rPr>
          <w:rFonts w:cstheme="minorHAnsi"/>
          <w:bCs/>
        </w:rPr>
        <w:t>trigeminal neuralgia</w:t>
      </w:r>
      <w:r w:rsidR="008E6D11" w:rsidRPr="006C35DF">
        <w:rPr>
          <w:rFonts w:cstheme="minorHAnsi"/>
          <w:bCs/>
        </w:rPr>
        <w:t xml:space="preserve"> (Renton T et al, 2011). Pain is usually unilateral, unless bilateral procedures have successfully injured the patient bilaterally, and may be precisely located to the dermatome of the aﬀected nerve with demonstrable sensory dysfunction.</w:t>
      </w:r>
      <w:r w:rsidR="008E6D11">
        <w:rPr>
          <w:rFonts w:cstheme="minorHAnsi"/>
          <w:bCs/>
        </w:rPr>
        <w:t xml:space="preserve"> The trigeminal dermatomes are illustrated in Figure </w:t>
      </w:r>
      <w:r w:rsidR="009108F2">
        <w:rPr>
          <w:rFonts w:cstheme="minorHAnsi"/>
          <w:bCs/>
        </w:rPr>
        <w:t>1</w:t>
      </w:r>
      <w:r w:rsidR="008E6D11">
        <w:rPr>
          <w:rFonts w:cstheme="minorHAnsi"/>
          <w:bCs/>
        </w:rPr>
        <w:t xml:space="preserve">. </w:t>
      </w:r>
    </w:p>
    <w:p w14:paraId="5C6D4208" w14:textId="77777777" w:rsidR="009108F2" w:rsidRDefault="009108F2" w:rsidP="00272384">
      <w:pPr>
        <w:jc w:val="center"/>
        <w:rPr>
          <w:rFonts w:cstheme="minorHAnsi"/>
          <w:bCs/>
        </w:rPr>
      </w:pPr>
      <w:r>
        <w:rPr>
          <w:rFonts w:cstheme="minorHAnsi"/>
          <w:bCs/>
          <w:noProof/>
        </w:rPr>
        <w:drawing>
          <wp:inline distT="0" distB="0" distL="0" distR="0" wp14:anchorId="0257537B" wp14:editId="6B2A40FD">
            <wp:extent cx="2581129" cy="3118339"/>
            <wp:effectExtent l="0" t="0" r="0" b="0"/>
            <wp:docPr id="2" name="Afbeelding 2"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aart&#10;&#10;Automatisch gegenereerde beschrijving"/>
                    <pic:cNvPicPr/>
                  </pic:nvPicPr>
                  <pic:blipFill rotWithShape="1">
                    <a:blip r:embed="rId10" cstate="print">
                      <a:extLst>
                        <a:ext uri="{28A0092B-C50C-407E-A947-70E740481C1C}">
                          <a14:useLocalDpi xmlns:a14="http://schemas.microsoft.com/office/drawing/2010/main" val="0"/>
                        </a:ext>
                      </a:extLst>
                    </a:blip>
                    <a:srcRect l="4613" t="12114" r="12627" b="12866"/>
                    <a:stretch/>
                  </pic:blipFill>
                  <pic:spPr bwMode="auto">
                    <a:xfrm>
                      <a:off x="0" y="0"/>
                      <a:ext cx="2590479" cy="3129635"/>
                    </a:xfrm>
                    <a:prstGeom prst="rect">
                      <a:avLst/>
                    </a:prstGeom>
                    <a:ln>
                      <a:noFill/>
                    </a:ln>
                    <a:extLst>
                      <a:ext uri="{53640926-AAD7-44D8-BBD7-CCE9431645EC}">
                        <a14:shadowObscured xmlns:a14="http://schemas.microsoft.com/office/drawing/2010/main"/>
                      </a:ext>
                    </a:extLst>
                  </pic:spPr>
                </pic:pic>
              </a:graphicData>
            </a:graphic>
          </wp:inline>
        </w:drawing>
      </w:r>
    </w:p>
    <w:p w14:paraId="590CD5A7" w14:textId="65137D68" w:rsidR="009108F2" w:rsidRPr="006C35DF" w:rsidRDefault="009108F2" w:rsidP="00416F7B">
      <w:pPr>
        <w:jc w:val="both"/>
        <w:rPr>
          <w:rFonts w:cstheme="minorHAnsi"/>
          <w:bCs/>
        </w:rPr>
      </w:pPr>
      <w:r>
        <w:rPr>
          <w:rFonts w:cstheme="minorHAnsi"/>
          <w:bCs/>
        </w:rPr>
        <w:t>Figure 1. The trigeminal nerve and its dermatomes.</w:t>
      </w:r>
    </w:p>
    <w:p w14:paraId="6A27352F" w14:textId="7E8EF391" w:rsidR="003C6750" w:rsidRDefault="003C6750" w:rsidP="003C6750">
      <w:pPr>
        <w:jc w:val="both"/>
        <w:rPr>
          <w:rFonts w:cstheme="minorHAnsi"/>
          <w:bCs/>
        </w:rPr>
      </w:pPr>
      <w:r w:rsidRPr="006C35DF">
        <w:rPr>
          <w:rFonts w:cstheme="minorHAnsi"/>
          <w:bCs/>
          <w:lang w:val="en-US"/>
        </w:rPr>
        <w:t xml:space="preserve">The authors believe that the neuropathy develops immediately after trauma, unless related to endodontic procedure where there may be a 2-3 days delay in neuropathy development. </w:t>
      </w:r>
      <w:r w:rsidR="00AB06EF">
        <w:rPr>
          <w:rFonts w:cstheme="minorHAnsi"/>
          <w:bCs/>
        </w:rPr>
        <w:t xml:space="preserve">A standardized </w:t>
      </w:r>
      <w:r w:rsidR="00A37218">
        <w:rPr>
          <w:rFonts w:cstheme="minorHAnsi"/>
          <w:bCs/>
        </w:rPr>
        <w:t xml:space="preserve">clinical mechanosensory </w:t>
      </w:r>
      <w:r w:rsidR="00AB06EF">
        <w:rPr>
          <w:rFonts w:cstheme="minorHAnsi"/>
          <w:bCs/>
        </w:rPr>
        <w:t xml:space="preserve">assessment is illustrated in Figure </w:t>
      </w:r>
      <w:r w:rsidR="009108F2">
        <w:rPr>
          <w:rFonts w:cstheme="minorHAnsi"/>
          <w:bCs/>
        </w:rPr>
        <w:t>2</w:t>
      </w:r>
      <w:r w:rsidR="00767250">
        <w:rPr>
          <w:rFonts w:cstheme="minorHAnsi"/>
          <w:bCs/>
        </w:rPr>
        <w:t xml:space="preserve"> (source: </w:t>
      </w:r>
      <w:r w:rsidR="00767250">
        <w:rPr>
          <w:rFonts w:cstheme="minorHAnsi"/>
          <w:bCs/>
        </w:rPr>
        <w:fldChar w:fldCharType="begin" w:fldLock="1"/>
      </w:r>
      <w:r w:rsidR="00A3201B">
        <w:rPr>
          <w:rFonts w:cstheme="minorHAnsi"/>
          <w:bCs/>
        </w:rPr>
        <w:instrText>ADDIN CSL_CITATION {"citationItems":[{"id":"ITEM-1","itemData":{"ISBN":"4420329912","ISSN":"1752-2471","abstract":"Abstract The trigeminal nerve constitutes the largest sensory cortex representation in the brain compared with other sensory nerves. This is likely due to the fact that the trigeminal nerve underpins our very existence, as it sensorially protects, our five senses including the organs that provide sight, smell, taste, hearing, speech and meninges protecting our brain. Thus, when trigeminal nerve injuries occur, which in the main are preventable and painful, the majority of patients experience mixed symptoms including altered sensation, numbness, and ongoing or elicited neuropathic pain. These neuropathic features cause significant impact on the patients? ability to function, for example cold allodynia prevents the patient enjoying cold foods and drinks and undertaking out-door activities or mechanical allodynia frequently interferes with eating, speaking, kissing and sleep. The resultant chronic symptoms and functional impedance results in significant psychological morbidity. Prevention of nerve injuries related to local anaesthesia, endodontics, implants and third molar surgery is imperative as there is no magic bullet to repair these sensory nerve injuries with their related neuropathic pain. Some causes have higher levels of resolution (third molar surgery and local anaesthesia) some lower levels of resolution (implant surgery and endodontics) and many patient factors will dictate the prevalence of chronic neuropathic pain. The patient must have appropriate consent and their expectations managed with understanding the potential benefits and risks for their chosen interventions. The authors have aimed to provide an up to date evidence base for diagnosis and management of trigeminal nerve injuries.","author":[{"dropping-particle":"","family":"Renton","given":"Tara","non-dropping-particle":"","parse-names":false,"suffix":""},{"dropping-particle":"","family":"Cruyssen","given":"Frederic","non-dropping-particle":"Van der","parse-names":false,"suffix":""}],"container-title":"Oral Surgery","id":"ITEM-1","issue":"n/a","issued":{"date-parts":[["2019","12","19"]]},"page":"ors.12465","title":"Diagnosis, pathophysiology, management and future issues of trigeminal surgical nerve injuries","type":"article-journal","volume":"n/a"},"uris":["http://www.mendeley.com/documents/?uuid=b4da5bbc-cbdf-4409-9cf3-c5faba240d90"]}],"mendeley":{"formattedCitation":"(Tara Renton &amp; Van der Cruyssen, 2019)","plainTextFormattedCitation":"(Tara Renton &amp; Van der Cruyssen, 2019)","previouslyFormattedCitation":"(Tara Renton &amp; Van der Cruyssen, 2019)"},"properties":{"noteIndex":0},"schema":"https://github.com/citation-style-language/schema/raw/master/csl-citation.json"}</w:instrText>
      </w:r>
      <w:r w:rsidR="00767250">
        <w:rPr>
          <w:rFonts w:cstheme="minorHAnsi"/>
          <w:bCs/>
        </w:rPr>
        <w:fldChar w:fldCharType="separate"/>
      </w:r>
      <w:r w:rsidR="00767250" w:rsidRPr="00767250">
        <w:rPr>
          <w:rFonts w:cstheme="minorHAnsi"/>
          <w:bCs/>
          <w:noProof/>
        </w:rPr>
        <w:t>(Tara Renton &amp; Van der Cruyssen, 2019)</w:t>
      </w:r>
      <w:r w:rsidR="00767250">
        <w:rPr>
          <w:rFonts w:cstheme="minorHAnsi"/>
          <w:bCs/>
        </w:rPr>
        <w:fldChar w:fldCharType="end"/>
      </w:r>
      <w:r w:rsidR="00AB06EF">
        <w:rPr>
          <w:rFonts w:cstheme="minorHAnsi"/>
          <w:bCs/>
        </w:rPr>
        <w:t>.</w:t>
      </w:r>
      <w:r w:rsidR="00416F7B">
        <w:rPr>
          <w:rFonts w:cstheme="minorHAnsi"/>
          <w:bCs/>
        </w:rPr>
        <w:t xml:space="preserve"> </w:t>
      </w:r>
      <w:r w:rsidR="00416F7B" w:rsidRPr="006C35DF">
        <w:rPr>
          <w:rFonts w:cstheme="minorHAnsi"/>
          <w:bCs/>
        </w:rPr>
        <w:t xml:space="preserve">These clinical mechanosensory tests have been shown to have a high speciﬁcity however they have a low sensitivity </w:t>
      </w:r>
      <w:r w:rsidR="00416F7B" w:rsidRPr="006C35DF">
        <w:rPr>
          <w:rFonts w:cstheme="minorHAnsi"/>
          <w:bCs/>
        </w:rPr>
        <w:fldChar w:fldCharType="begin" w:fldLock="1"/>
      </w:r>
      <w:r w:rsidR="00416F7B" w:rsidRPr="006C35DF">
        <w:rPr>
          <w:rFonts w:cstheme="minorHAnsi"/>
          <w:bCs/>
        </w:rPr>
        <w:instrText>ADDIN CSL_CITATION {"citationItems":[{"id":"ITEM-1","itemData":{"DOI":"10.1016/S0278-2391(98)90904-1","ISSN":"02782391","abstract":"Purpose: The accuracy of the clinical neurosensory test to diagnose trigeminal nerve injuries has never been statistically evaluated. The purpose of this study was to determine the statistical efficacy of the clinical neurosensory test using surgical findings as the 'gold' standard, and to determine whether a correlation existed between the sensory impairment score obtained by preoperative testing and the degree of nerve injury found at surgery. Materials and Methods: A multisite, randomized, prospective, blinded, clinical trial was conducted on 130 patients with inferior alveolar nerve (IAN) and lingual nerve (LN) injuries. Preoperatively, patients were provided a sensory impairment score using a three-level drop-out clinical neurosensory test (NST), and blind comparisons were made with the surgical findings postoperatively. Results: The positive predictive and negative predictive values for LN-injured patients were 95% and 10094, respectively. The positive predictive and negative predictive values for IAN patients were 77% and 60%, respectively. There were statistically significant differences in the distribution of age, duration of injury, cause of injury, presence of neuropathic pain, presence of trigger pain, and degree of injury between the IAN and LN patient populations. There was a statistically significant positive relationship found between the sensory impairment score and the degree of nerve injury. Conclusions: The NST is a clinically useful method to diagnose IAN and LN injuries. However, the NST results are less efficient for IAN injuries than LN injuries, and have a high incidence of false-positive (23%) and false-negative (40%) results when testing patients with IAN injuries. The different rates of statistical efficiency between the two groups of patients may be attributable to differences in prevalence and biologic covariates.","author":[{"dropping-particle":"","family":"Zuniga","given":"John R.","non-dropping-particle":"","parse-names":false,"suffix":""},{"dropping-particle":"","family":"Meyer","given":"Roger A.","non-dropping-particle":"","parse-names":false,"suffix":""},{"dropping-particle":"","family":"Gregg","given":"John M.","non-dropping-particle":"","parse-names":false,"suffix":""},{"dropping-particle":"","family":"Miloro","given":"Michael","non-dropping-particle":"","parse-names":false,"suffix":""},{"dropping-particle":"","family":"Davis","given":"Leon F.","non-dropping-particle":"","parse-names":false,"suffix":""}],"container-title":"Journal of Oral and Maxillofacial Surgery","id":"ITEM-1","issued":{"date-parts":[["1998"]]},"title":"The accuracy of clinical neurosensory testing for nerve injury diagnosis","type":"article-journal"},"uris":["http://www.mendeley.com/documents/?uuid=87d645b5-1f5d-4f81-beeb-365debfb2ab3"]}],"mendeley":{"formattedCitation":"(Zuniga et al., 1998)","plainTextFormattedCitation":"(Zuniga et al., 1998)","previouslyFormattedCitation":"(Zuniga et al., 1998)"},"properties":{"noteIndex":0},"schema":"https://github.com/citation-style-language/schema/raw/master/csl-citation.json"}</w:instrText>
      </w:r>
      <w:r w:rsidR="00416F7B" w:rsidRPr="006C35DF">
        <w:rPr>
          <w:rFonts w:cstheme="minorHAnsi"/>
          <w:bCs/>
        </w:rPr>
        <w:fldChar w:fldCharType="separate"/>
      </w:r>
      <w:r w:rsidR="00416F7B" w:rsidRPr="006C35DF">
        <w:rPr>
          <w:rFonts w:cstheme="minorHAnsi"/>
          <w:bCs/>
          <w:noProof/>
        </w:rPr>
        <w:t>(Zuniga et al., 1998)</w:t>
      </w:r>
      <w:r w:rsidR="00416F7B" w:rsidRPr="006C35DF">
        <w:rPr>
          <w:rFonts w:cstheme="minorHAnsi"/>
          <w:bCs/>
        </w:rPr>
        <w:fldChar w:fldCharType="end"/>
      </w:r>
      <w:r w:rsidR="00416F7B" w:rsidRPr="006C35DF">
        <w:rPr>
          <w:rFonts w:cstheme="minorHAnsi"/>
          <w:bCs/>
        </w:rPr>
        <w:t xml:space="preserve">. </w:t>
      </w:r>
      <w:r w:rsidR="00270A4A" w:rsidRPr="006C35DF">
        <w:rPr>
          <w:rFonts w:cstheme="minorHAnsi"/>
          <w:bCs/>
        </w:rPr>
        <w:t xml:space="preserve">For more accurate sensory profiling, quantitative sensory testing </w:t>
      </w:r>
      <w:r w:rsidR="007574C4">
        <w:rPr>
          <w:rFonts w:cstheme="minorHAnsi"/>
          <w:bCs/>
        </w:rPr>
        <w:t xml:space="preserve">(QST) </w:t>
      </w:r>
      <w:r w:rsidR="00270A4A" w:rsidRPr="006C35DF">
        <w:rPr>
          <w:rFonts w:cstheme="minorHAnsi"/>
          <w:bCs/>
        </w:rPr>
        <w:t xml:space="preserve">is recommended for selected cases in clinic, including the diagnosis of small fiber neuropathies and for research purposes </w:t>
      </w:r>
      <w:r w:rsidR="00270A4A" w:rsidRPr="006C35DF">
        <w:rPr>
          <w:rFonts w:cstheme="minorHAnsi"/>
          <w:bCs/>
        </w:rPr>
        <w:fldChar w:fldCharType="begin" w:fldLock="1"/>
      </w:r>
      <w:r w:rsidR="00270A4A" w:rsidRPr="006C35DF">
        <w:rPr>
          <w:rFonts w:cstheme="minorHAnsi"/>
          <w:bCs/>
        </w:rPr>
        <w:instrText>ADDIN CSL_CITATION {"citationItems":[{"id":"ITEM-1","itemData":{"DOI":"10.1016/j.pain.2010.07.031","ISSN":"1872-6623 (Electronic)","PMID":"20851519","abstract":"This is a revision of guidelines, originally published in 2004, for the assessment  of patients with neuropathic pain. Neuropathic pain is defined as pain arising as a direct consequence of a lesion or disease affecting the somatosensory system either at peripheral or central level. Screening questionnaires are suitable for identifying potential patients with neuropathic pain, but further validation of them is needed for epidemiological purposes. Clinical examination, including accurate sensory examination, is the basis of neuropathic pain diagnosis. For more accurate sensory profiling, quantitative sensory testing is recommended for selected cases in clinic, including the diagnosis of small fiber neuropathies and for research purposes. Measurement of trigeminal reflexes mediated by A-beta fibers can be used to differentiate symptomatic trigeminal neuralgia from classical trigeminal neuralgia. Measurement of laser-evoked potentials is useful for assessing function of the A-delta fiber pathways in patients with neuropathic pain. Functional brain imaging is not currently useful for individual patients in clinical practice, but is an interesting research tool. Skin biopsy to measure the intraepidermal nerve fiber density should be performed in patients with clinical signs of small fiber dysfunction. The intensity of pain and treatment effect (both in clinic and trials) should be assessed with numerical rating scale or visual analog scale. For future neuropathic pain trials, pain relief scales, patient and clinician global impression of change, the proportion of responders (50% and 30% pain relief), validated neuropathic pain quality measures and assessment of sleep, mood, functional capacity and quality of life are recommended.","author":[{"dropping-particle":"","family":"Haanpää","given":"Maija","non-dropping-particle":"","parse-names":false,"suffix":""},{"dropping-particle":"","family":"Attal","given":"Nadine","non-dropping-particle":"","parse-names":false,"suffix":""},{"dropping-particle":"","family":"Backonja","given":"Miroslav","non-dropping-particle":"","parse-names":false,"suffix":""},{"dropping-particle":"","family":"Baron","given":"Ralf","non-dropping-particle":"","parse-names":false,"suffix":""},{"dropping-particle":"","family":"Bennett","given":"Michael","non-dropping-particle":"","parse-names":false,"suffix":""},{"dropping-particle":"","family":"Bouhassira","given":"Didier","non-dropping-particle":"","parse-names":false,"suffix":""},{"dropping-particle":"","family":"Cruccu","given":"Giorgio","non-dropping-particle":"","parse-names":false,"suffix":""},{"dropping-particle":"","family":"Hansson","given":"Per","non-dropping-particle":"","parse-names":false,"suffix":""},{"dropping-particle":"","family":"Haythornthwaite","given":"Jennifer A","non-dropping-particle":"","parse-names":false,"suffix":""},{"dropping-particle":"","family":"Iannetti","given":"Gian Domenico","non-dropping-particle":"","parse-names":false,"suffix":""},{"dropping-particle":"","family":"Jensen","given":"Troels S","non-dropping-particle":"","parse-names":false,"suffix":""},{"dropping-particle":"","family":"Kauppila","given":"Timo","non-dropping-particle":"","parse-names":false,"suffix":""},{"dropping-particle":"","family":"Nurmikko","given":"Turo J","non-dropping-particle":"","parse-names":false,"suffix":""},{"dropping-particle":"","family":"Rice","given":"Andew S C","non-dropping-particle":"","parse-names":false,"suffix":""},{"dropping-particle":"","family":"Rowbotham","given":"Michael","non-dropping-particle":"","parse-names":false,"suffix":""},{"dropping-particle":"","family":"Serra","given":"Jordi","non-dropping-particle":"","parse-names":false,"suffix":""},{"dropping-particle":"","family":"Sommer","given":"Claudia","non-dropping-particle":"","parse-names":false,"suffix":""},{"dropping-particle":"","family":"Smith","given":"Blair H","non-dropping-particle":"","parse-names":false,"suffix":""},{"dropping-particle":"","family":"Treede","given":"Rolf-Detlef","non-dropping-particle":"","parse-names":false,"suffix":""}],"container-title":"Pain","id":"ITEM-1","issue":"1","issued":{"date-parts":[["2011","1"]]},"language":"eng","page":"14-27","publisher-place":"United States","title":"NeuPSIG guidelines on neuropathic pain assessment.","type":"article-journal","volume":"152"},"uris":["http://www.mendeley.com/documents/?uuid=ddcb06aa-af5c-4e37-ba96-6a2a0fb775cc"]}],"mendeley":{"formattedCitation":"(Haanpää et al., 2011)","plainTextFormattedCitation":"(Haanpää et al., 2011)","previouslyFormattedCitation":"(Haanpää et al., 2011)"},"properties":{"noteIndex":0},"schema":"https://github.com/citation-style-language/schema/raw/master/csl-citation.json"}</w:instrText>
      </w:r>
      <w:r w:rsidR="00270A4A" w:rsidRPr="006C35DF">
        <w:rPr>
          <w:rFonts w:cstheme="minorHAnsi"/>
          <w:bCs/>
        </w:rPr>
        <w:fldChar w:fldCharType="separate"/>
      </w:r>
      <w:r w:rsidR="00270A4A" w:rsidRPr="006C35DF">
        <w:rPr>
          <w:rFonts w:cstheme="minorHAnsi"/>
          <w:bCs/>
          <w:noProof/>
        </w:rPr>
        <w:t>(Haanpää et al., 2011)</w:t>
      </w:r>
      <w:r w:rsidR="00270A4A" w:rsidRPr="006C35DF">
        <w:rPr>
          <w:rFonts w:cstheme="minorHAnsi"/>
          <w:bCs/>
        </w:rPr>
        <w:fldChar w:fldCharType="end"/>
      </w:r>
      <w:r w:rsidR="00270A4A" w:rsidRPr="006C35DF">
        <w:rPr>
          <w:rFonts w:cstheme="minorHAnsi"/>
          <w:bCs/>
        </w:rPr>
        <w:t>.</w:t>
      </w:r>
      <w:r w:rsidR="00416F7B">
        <w:rPr>
          <w:rFonts w:cstheme="minorHAnsi"/>
          <w:bCs/>
        </w:rPr>
        <w:t xml:space="preserve"> </w:t>
      </w:r>
      <w:r w:rsidR="00270A4A" w:rsidRPr="006C35DF">
        <w:rPr>
          <w:rFonts w:cstheme="minorHAnsi"/>
          <w:bCs/>
        </w:rPr>
        <w:t xml:space="preserve">Advanced neurophysiological testing is superior to clinical testing </w:t>
      </w:r>
      <w:r w:rsidR="00270A4A" w:rsidRPr="006C35DF">
        <w:rPr>
          <w:rFonts w:cstheme="minorHAnsi"/>
          <w:bCs/>
        </w:rPr>
        <w:fldChar w:fldCharType="begin" w:fldLock="1"/>
      </w:r>
      <w:r w:rsidR="00270A4A" w:rsidRPr="006C35DF">
        <w:rPr>
          <w:rFonts w:cstheme="minorHAnsi"/>
          <w:bCs/>
        </w:rPr>
        <w:instrText>ADDIN CSL_CITATION {"citationItems":[{"id":"ITEM-1","itemData":{"DOI":"10.1002/mus.26400","ISSN":"10974598","abstract":"Introduction: We evaluated diagnostic value of sensory tests during recovery from iatrogenic sensory neuropathy using intraoperatively verified nerve injury with subjective symptoms as gold standard. Methods: Inferior alveolar nerves were monitored neurophysiologically throughout mandibular osteotomy in 19 patients. Sensory disturbance was registered and sensation tested using clinical and quantitative sensory (QST) and neurophysiologic tests postoperatively at 1, 3, 6, and 12 months. Sensitivity, specificity, and predictive values were calculated for all tests. Results: The sensitivity of clinical tests was at best 37%, with 100% specificity, but they lost diagnostic value at chronic stages. Best diagnostic accuracy (highest combination of sensitivity and specificity) at different time points was achieved by combining neurophysiologic and thermal QST or tactile and thermal QST. The single most accurate test was sensory neurography. Conclusions: Neurography or combinations of neurophysiologic and quantitative tests enables most reliable early and late diagnosis. Clinical sensory examination is inadequate for accurate diagnosis. Muscle Nerve 59:342-347, 2019","author":[{"dropping-particle":"","family":"Teerijoki-Oksa","given":"Tuija","non-dropping-particle":"","parse-names":false,"suffix":""},{"dropping-particle":"","family":"Forssell","given":"Heli","non-dropping-particle":"","parse-names":false,"suffix":""},{"dropping-particle":"","family":"Jääskeläinen","given":"Satu K.","non-dropping-particle":"","parse-names":false,"suffix":""},{"dropping-particle":"","family":"Jaaskelainen","given":"Satu K","non-dropping-particle":"","parse-names":false,"suffix":""},{"dropping-particle":"","family":"Teerijoki-Oksa","given":"Tuija","non-dropping-particle":"","parse-names":false,"suffix":""},{"dropping-particle":"","family":"Forssell","given":"Heli","non-dropping-particle":"","parse-names":false,"suffix":""},{"dropping-particle":"","family":"Jaaskelainen","given":"Satu K","non-dropping-particle":"","parse-names":false,"suffix":""},{"dropping-particle":"","family":"Jääskeläinen","given":"Satu K.","non-dropping-particle":"","parse-names":false,"suffix":""}],"container-title":"Muscle and Nerve","id":"ITEM-1","issue":"3","issued":{"date-parts":[["2019"]]},"page":"342-347","publisher":"WILEY","publisher-place":"111 RIVER ST, HOBOKEN 07030-5774, NJ USA","title":"Validation of diagnostic methods for traumatic sensory neuropathy and neuropathic pain","type":"article-journal","volume":"59"},"uris":["http://www.mendeley.com/documents/?uuid=65e412b6-f85d-4272-87ef-ca7306c484ea"]}],"mendeley":{"formattedCitation":"(Teerijoki-Oksa et al., 2019)","plainTextFormattedCitation":"(Teerijoki-Oksa et al., 2019)","previouslyFormattedCitation":"(Teerijoki-Oksa et al., 2019)"},"properties":{"noteIndex":0},"schema":"https://github.com/citation-style-language/schema/raw/master/csl-citation.json"}</w:instrText>
      </w:r>
      <w:r w:rsidR="00270A4A" w:rsidRPr="006C35DF">
        <w:rPr>
          <w:rFonts w:cstheme="minorHAnsi"/>
          <w:bCs/>
        </w:rPr>
        <w:fldChar w:fldCharType="separate"/>
      </w:r>
      <w:r w:rsidR="00270A4A" w:rsidRPr="006C35DF">
        <w:rPr>
          <w:rFonts w:cstheme="minorHAnsi"/>
          <w:bCs/>
          <w:noProof/>
        </w:rPr>
        <w:t>(Teerijoki-Oksa et al., 2019)</w:t>
      </w:r>
      <w:r w:rsidR="00270A4A" w:rsidRPr="006C35DF">
        <w:rPr>
          <w:rFonts w:cstheme="minorHAnsi"/>
          <w:bCs/>
        </w:rPr>
        <w:fldChar w:fldCharType="end"/>
      </w:r>
      <w:r w:rsidR="00270A4A" w:rsidRPr="006C35DF">
        <w:rPr>
          <w:rFonts w:cstheme="minorHAnsi"/>
          <w:bCs/>
        </w:rPr>
        <w:t xml:space="preserve">, but this is not always possible intraorally or in large trials involving patient populations. The use of brainstem reﬂexes and advanced neurophysiologic testing will accurately establish nerve damage </w:t>
      </w:r>
      <w:r w:rsidR="00270A4A" w:rsidRPr="006C35DF">
        <w:rPr>
          <w:rFonts w:cstheme="minorHAnsi"/>
          <w:bCs/>
        </w:rPr>
        <w:fldChar w:fldCharType="begin" w:fldLock="1"/>
      </w:r>
      <w:r w:rsidR="00270A4A" w:rsidRPr="006C35DF">
        <w:rPr>
          <w:rFonts w:cstheme="minorHAnsi"/>
          <w:bCs/>
        </w:rPr>
        <w:instrText>ADDIN CSL_CITATION {"citationItems":[{"id":"ITEM-1","itemData":{"ISSN":"1064-6655","abstract":"This article reviews the utility of neurophysiological recordings and quantitative sensory testing (QST) in providing sensitive, quantitative, and objective tests for the diagnosis and localization of damage to the trigeminal nerve. Electromyography and recordings of the masseter reflex and compound muscle action potential evoked by transcranial magnetic stimulation or direct electrical stimulation of the masseteric nerve can be of value in evaluating the function of α motor neurons supplying the muscles of mastication. Orthodromic recording of the sensory action potential and trigeminal somatosensory-evoked potential recording with the near-nerve stimulation technique are sensitive tools for the investigation of trigeminal sensory Aβ afferents, whereas recordings of polysynaptic trigeminal brainstem reflexes and tactile QST are less sensitive. At late stages of recovery, the blink reflex and masseter inhibitory reflex are often normal, but at earlier stages, the blink reflex recording has good prognostic value, and the presence of a reflex response may confirm continuity of the nerve trunk after partial laceration. Trigeminal small-fiber function (Aδ and C) can be studied with thermal QST of the cool, warm, heat pain, and cold pain detection thresholds or with laser-evoked potential recording. Thermal QST may remain abnormal years after axonal damage and aids in the diagnosis of late sequelae of trigeminal nerve injury. In a study of the diagnostic value of neurography, blink reflex and thermal QST, and various commonly used clinical sensory tests, neurophysiologic tests and thermal QST had better sensitivity (50% to 88% vs 40% to 59%) and negative predictive values (78% to 100% vs 70% to 74%) compared to clinical examination, whereas the specificity (55% to 100%) and positive predictive values (48% to 73%) were similar. At 1 year after trigeminal nerve injury, the risk of a false negative finding with clinical sensory testing was 94%, whereas the combination of nerve conduction recordings and thermal QST increased the diagnostic yield to 100% in patients with long-standing postsurgical sensory alteration. In conclusion, clinical neurophysiological recordings and QST improve the diagnostic accuracy for trigeminal neuropathy.","author":[{"dropping-particle":"","family":"Jääskeläinen","given":"S.K.","non-dropping-particle":"","parse-names":false,"suffix":""}],"container-title":"J. Orofac. Pain","id":"ITEM-1","issue":"4","issued":{"date-parts":[["2004"]]},"page":"355-359","publisher-place":"S.K. Jääskeläinen, Dept. of Clinical Neurophysiology, Turku University Hospital, Post Box 52, FI-20521 Turku, Finland","title":"The utility of clinical neurophysiological and quantitative sensory testing for trigeminal neuropathy","type":"article-journal","volume":"18"},"uris":["http://www.mendeley.com/documents/?uuid=3f73b32a-0182-49c3-b407-d667c1c471ab"]}],"mendeley":{"formattedCitation":"(Jääskeläinen, 2004)","plainTextFormattedCitation":"(Jääskeläinen, 2004)","previouslyFormattedCitation":"(Jääskeläinen, 2004)"},"properties":{"noteIndex":0},"schema":"https://github.com/citation-style-language/schema/raw/master/csl-citation.json"}</w:instrText>
      </w:r>
      <w:r w:rsidR="00270A4A" w:rsidRPr="006C35DF">
        <w:rPr>
          <w:rFonts w:cstheme="minorHAnsi"/>
          <w:bCs/>
        </w:rPr>
        <w:fldChar w:fldCharType="separate"/>
      </w:r>
      <w:r w:rsidR="00270A4A" w:rsidRPr="006C35DF">
        <w:rPr>
          <w:rFonts w:cstheme="minorHAnsi"/>
          <w:bCs/>
          <w:noProof/>
        </w:rPr>
        <w:t>(Jääskeläinen, 2004)</w:t>
      </w:r>
      <w:r w:rsidR="00270A4A" w:rsidRPr="006C35DF">
        <w:rPr>
          <w:rFonts w:cstheme="minorHAnsi"/>
          <w:bCs/>
        </w:rPr>
        <w:fldChar w:fldCharType="end"/>
      </w:r>
      <w:r w:rsidR="00270A4A" w:rsidRPr="006C35DF">
        <w:rPr>
          <w:rFonts w:cstheme="minorHAnsi"/>
          <w:bCs/>
        </w:rPr>
        <w:t xml:space="preserve">. </w:t>
      </w:r>
    </w:p>
    <w:tbl>
      <w:tblPr>
        <w:tblStyle w:val="Rastertabel4-Accent1"/>
        <w:tblpPr w:leftFromText="141" w:rightFromText="141" w:horzAnchor="margin" w:tblpXSpec="center" w:tblpY="-720"/>
        <w:tblW w:w="0" w:type="auto"/>
        <w:tblLook w:val="04A0" w:firstRow="1" w:lastRow="0" w:firstColumn="1" w:lastColumn="0" w:noHBand="0" w:noVBand="1"/>
      </w:tblPr>
      <w:tblGrid>
        <w:gridCol w:w="1994"/>
        <w:gridCol w:w="2436"/>
        <w:gridCol w:w="2196"/>
        <w:gridCol w:w="2436"/>
      </w:tblGrid>
      <w:tr w:rsidR="00B013B1" w:rsidRPr="00704AC1" w14:paraId="37BEA3F8" w14:textId="77777777" w:rsidTr="00E32BF4">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248" w:type="dxa"/>
            <w:gridSpan w:val="2"/>
          </w:tcPr>
          <w:p w14:paraId="16DF1796" w14:textId="77777777" w:rsidR="00B013B1" w:rsidRPr="00704AC1" w:rsidRDefault="00B013B1" w:rsidP="0009447E">
            <w:pPr>
              <w:rPr>
                <w:sz w:val="15"/>
                <w:szCs w:val="15"/>
                <w:lang w:val="en-US"/>
              </w:rPr>
            </w:pPr>
            <w:r w:rsidRPr="00704AC1">
              <w:rPr>
                <w:sz w:val="15"/>
                <w:szCs w:val="15"/>
                <w:lang w:val="en-US"/>
              </w:rPr>
              <w:lastRenderedPageBreak/>
              <w:t>Examination protocol for mechanosensory evaluation of the extraoral dermatome of V3. This protocol could also be applied to other dermatomes.</w:t>
            </w:r>
          </w:p>
        </w:tc>
        <w:tc>
          <w:tcPr>
            <w:tcW w:w="2378" w:type="dxa"/>
          </w:tcPr>
          <w:p w14:paraId="079885F9" w14:textId="77777777" w:rsidR="00B013B1" w:rsidRPr="00704AC1" w:rsidRDefault="00B013B1" w:rsidP="0009447E">
            <w:pPr>
              <w:cnfStyle w:val="100000000000" w:firstRow="1" w:lastRow="0" w:firstColumn="0" w:lastColumn="0" w:oddVBand="0" w:evenVBand="0" w:oddHBand="0" w:evenHBand="0" w:firstRowFirstColumn="0" w:firstRowLastColumn="0" w:lastRowFirstColumn="0" w:lastRowLastColumn="0"/>
              <w:rPr>
                <w:sz w:val="15"/>
                <w:szCs w:val="15"/>
                <w:lang w:val="en-US"/>
              </w:rPr>
            </w:pPr>
          </w:p>
        </w:tc>
        <w:tc>
          <w:tcPr>
            <w:tcW w:w="2436" w:type="dxa"/>
          </w:tcPr>
          <w:p w14:paraId="015868F1" w14:textId="77777777" w:rsidR="00B013B1" w:rsidRPr="00704AC1" w:rsidRDefault="00B013B1" w:rsidP="0009447E">
            <w:pPr>
              <w:cnfStyle w:val="100000000000" w:firstRow="1" w:lastRow="0" w:firstColumn="0" w:lastColumn="0" w:oddVBand="0" w:evenVBand="0" w:oddHBand="0" w:evenHBand="0" w:firstRowFirstColumn="0" w:firstRowLastColumn="0" w:lastRowFirstColumn="0" w:lastRowLastColumn="0"/>
              <w:rPr>
                <w:sz w:val="15"/>
                <w:szCs w:val="15"/>
                <w:lang w:val="en-US"/>
              </w:rPr>
            </w:pPr>
          </w:p>
        </w:tc>
      </w:tr>
      <w:tr w:rsidR="00B013B1" w:rsidRPr="00704AC1" w14:paraId="6D47042D" w14:textId="77777777" w:rsidTr="00E32BF4">
        <w:trPr>
          <w:cnfStyle w:val="000000100000" w:firstRow="0" w:lastRow="0" w:firstColumn="0" w:lastColumn="0" w:oddVBand="0" w:evenVBand="0" w:oddHBand="1" w:evenHBand="0" w:firstRowFirstColumn="0" w:firstRowLastColumn="0" w:lastRowFirstColumn="0" w:lastRowLastColumn="0"/>
          <w:trHeight w:val="1926"/>
        </w:trPr>
        <w:tc>
          <w:tcPr>
            <w:cnfStyle w:val="001000000000" w:firstRow="0" w:lastRow="0" w:firstColumn="1" w:lastColumn="0" w:oddVBand="0" w:evenVBand="0" w:oddHBand="0" w:evenHBand="0" w:firstRowFirstColumn="0" w:firstRowLastColumn="0" w:lastRowFirstColumn="0" w:lastRowLastColumn="0"/>
            <w:tcW w:w="2138" w:type="dxa"/>
          </w:tcPr>
          <w:p w14:paraId="27A52056" w14:textId="77777777" w:rsidR="00B013B1" w:rsidRPr="00704AC1" w:rsidRDefault="00B013B1" w:rsidP="0009447E">
            <w:pPr>
              <w:rPr>
                <w:sz w:val="15"/>
                <w:szCs w:val="15"/>
                <w:lang w:val="en-US"/>
              </w:rPr>
            </w:pPr>
            <w:r w:rsidRPr="00704AC1">
              <w:rPr>
                <w:sz w:val="15"/>
                <w:szCs w:val="15"/>
                <w:lang w:val="en-US"/>
              </w:rPr>
              <w:t>Area affected</w:t>
            </w:r>
          </w:p>
          <w:p w14:paraId="2C763A8E" w14:textId="2B759FEB" w:rsidR="00B013B1" w:rsidRPr="00704AC1" w:rsidRDefault="00B013B1" w:rsidP="0009447E">
            <w:pPr>
              <w:rPr>
                <w:sz w:val="15"/>
                <w:szCs w:val="15"/>
                <w:lang w:val="en-US"/>
              </w:rPr>
            </w:pPr>
            <w:r w:rsidRPr="00704AC1">
              <w:rPr>
                <w:b w:val="0"/>
                <w:bCs w:val="0"/>
                <w:sz w:val="15"/>
                <w:szCs w:val="15"/>
                <w:lang w:val="en-US"/>
              </w:rPr>
              <w:t>Using forceps run over normal to neuropathic area warning the patient that there may be hypersensitivity as well as hyposensitivity.</w:t>
            </w:r>
          </w:p>
          <w:p w14:paraId="4EB12B8F" w14:textId="77777777" w:rsidR="00B013B1" w:rsidRPr="00704AC1" w:rsidRDefault="00B013B1" w:rsidP="0009447E">
            <w:pPr>
              <w:rPr>
                <w:b w:val="0"/>
                <w:bCs w:val="0"/>
                <w:sz w:val="15"/>
                <w:szCs w:val="15"/>
                <w:lang w:val="en-US"/>
              </w:rPr>
            </w:pPr>
            <w:r w:rsidRPr="00704AC1">
              <w:rPr>
                <w:b w:val="0"/>
                <w:bCs w:val="0"/>
                <w:sz w:val="15"/>
                <w:szCs w:val="15"/>
                <w:lang w:val="en-US"/>
              </w:rPr>
              <w:t>Map out the area and record pictorially or by photograph using pen marks on patient's face.</w:t>
            </w:r>
          </w:p>
          <w:p w14:paraId="365EF7F0" w14:textId="78288F7D" w:rsidR="00B013B1" w:rsidRPr="00C76EDE" w:rsidRDefault="00B013B1" w:rsidP="0009447E">
            <w:pPr>
              <w:rPr>
                <w:sz w:val="15"/>
                <w:szCs w:val="15"/>
                <w:lang w:val="en-US"/>
              </w:rPr>
            </w:pPr>
            <w:r w:rsidRPr="00704AC1">
              <w:rPr>
                <w:b w:val="0"/>
                <w:bCs w:val="0"/>
                <w:sz w:val="15"/>
                <w:szCs w:val="15"/>
                <w:lang w:val="en-US"/>
              </w:rPr>
              <w:t>Estimate the % or extra-oral dermatome is affected by the neuropathy.</w:t>
            </w:r>
          </w:p>
          <w:p w14:paraId="745A7F70" w14:textId="77777777" w:rsidR="00B013B1" w:rsidRPr="00704AC1" w:rsidRDefault="00B013B1" w:rsidP="0009447E">
            <w:pPr>
              <w:rPr>
                <w:sz w:val="15"/>
                <w:szCs w:val="15"/>
                <w:lang w:val="en-US"/>
              </w:rPr>
            </w:pPr>
            <w:r w:rsidRPr="00704AC1">
              <w:rPr>
                <w:b w:val="0"/>
                <w:bCs w:val="0"/>
                <w:sz w:val="15"/>
                <w:szCs w:val="15"/>
                <w:lang w:val="en-US"/>
              </w:rPr>
              <w:t>(yellow dotted lines indicate V3 dermatome and arrows indicate direction of testing from normal to neuropathic area)</w:t>
            </w:r>
          </w:p>
        </w:tc>
        <w:tc>
          <w:tcPr>
            <w:tcW w:w="2110" w:type="dxa"/>
          </w:tcPr>
          <w:p w14:paraId="4ED7CFF1" w14:textId="77777777" w:rsidR="00B013B1" w:rsidRPr="00704AC1" w:rsidRDefault="00B013B1" w:rsidP="0009447E">
            <w:pPr>
              <w:jc w:val="center"/>
              <w:cnfStyle w:val="000000100000" w:firstRow="0" w:lastRow="0" w:firstColumn="0" w:lastColumn="0" w:oddVBand="0" w:evenVBand="0" w:oddHBand="1" w:evenHBand="0" w:firstRowFirstColumn="0" w:firstRowLastColumn="0" w:lastRowFirstColumn="0" w:lastRowLastColumn="0"/>
              <w:rPr>
                <w:sz w:val="15"/>
                <w:szCs w:val="15"/>
                <w:lang w:val="en-US"/>
              </w:rPr>
            </w:pPr>
            <w:r w:rsidRPr="00704AC1">
              <w:rPr>
                <w:noProof/>
                <w:sz w:val="15"/>
                <w:szCs w:val="15"/>
                <w:lang w:val="en-US"/>
              </w:rPr>
              <w:drawing>
                <wp:inline distT="0" distB="0" distL="0" distR="0" wp14:anchorId="219A6163" wp14:editId="3A96E35D">
                  <wp:extent cx="1406544" cy="900000"/>
                  <wp:effectExtent l="0" t="0" r="3175" b="1905"/>
                  <wp:docPr id="1" name="Afbeelding 1" descr="Afbeelding met man, persoon, stropdas, dr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4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544" cy="900000"/>
                          </a:xfrm>
                          <a:prstGeom prst="rect">
                            <a:avLst/>
                          </a:prstGeom>
                        </pic:spPr>
                      </pic:pic>
                    </a:graphicData>
                  </a:graphic>
                </wp:inline>
              </w:drawing>
            </w:r>
          </w:p>
          <w:p w14:paraId="48512BE3" w14:textId="77777777" w:rsidR="00B013B1" w:rsidRPr="00704AC1" w:rsidRDefault="00B013B1" w:rsidP="0009447E">
            <w:pPr>
              <w:jc w:val="center"/>
              <w:cnfStyle w:val="000000100000" w:firstRow="0" w:lastRow="0" w:firstColumn="0" w:lastColumn="0" w:oddVBand="0" w:evenVBand="0" w:oddHBand="1" w:evenHBand="0" w:firstRowFirstColumn="0" w:firstRowLastColumn="0" w:lastRowFirstColumn="0" w:lastRowLastColumn="0"/>
              <w:rPr>
                <w:sz w:val="15"/>
                <w:szCs w:val="15"/>
                <w:lang w:val="en-US"/>
              </w:rPr>
            </w:pPr>
          </w:p>
          <w:p w14:paraId="6D0D8D69" w14:textId="77777777" w:rsidR="00B013B1" w:rsidRPr="00704AC1" w:rsidRDefault="00B013B1" w:rsidP="0009447E">
            <w:pPr>
              <w:jc w:val="center"/>
              <w:cnfStyle w:val="000000100000" w:firstRow="0" w:lastRow="0" w:firstColumn="0" w:lastColumn="0" w:oddVBand="0" w:evenVBand="0" w:oddHBand="1" w:evenHBand="0" w:firstRowFirstColumn="0" w:firstRowLastColumn="0" w:lastRowFirstColumn="0" w:lastRowLastColumn="0"/>
              <w:rPr>
                <w:sz w:val="15"/>
                <w:szCs w:val="15"/>
                <w:lang w:val="en-US"/>
              </w:rPr>
            </w:pPr>
            <w:r w:rsidRPr="00704AC1">
              <w:rPr>
                <w:noProof/>
                <w:sz w:val="15"/>
                <w:szCs w:val="15"/>
                <w:lang w:val="en-US"/>
              </w:rPr>
              <w:drawing>
                <wp:inline distT="0" distB="0" distL="0" distR="0" wp14:anchorId="499D3CCD" wp14:editId="30327265">
                  <wp:extent cx="1404000" cy="900000"/>
                  <wp:effectExtent l="0" t="0" r="5715" b="1905"/>
                  <wp:docPr id="4" name="Afbeelding 4" descr="Afbeelding met persoon, man, dragen, stropd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rmatome indicated with tweez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4000" cy="900000"/>
                          </a:xfrm>
                          <a:prstGeom prst="rect">
                            <a:avLst/>
                          </a:prstGeom>
                        </pic:spPr>
                      </pic:pic>
                    </a:graphicData>
                  </a:graphic>
                </wp:inline>
              </w:drawing>
            </w:r>
          </w:p>
          <w:p w14:paraId="3BF6EF34" w14:textId="77777777" w:rsidR="00B013B1" w:rsidRPr="00704AC1" w:rsidRDefault="00B013B1" w:rsidP="0009447E">
            <w:pPr>
              <w:jc w:val="center"/>
              <w:cnfStyle w:val="000000100000" w:firstRow="0" w:lastRow="0" w:firstColumn="0" w:lastColumn="0" w:oddVBand="0" w:evenVBand="0" w:oddHBand="1" w:evenHBand="0" w:firstRowFirstColumn="0" w:firstRowLastColumn="0" w:lastRowFirstColumn="0" w:lastRowLastColumn="0"/>
              <w:rPr>
                <w:sz w:val="15"/>
                <w:szCs w:val="15"/>
                <w:lang w:val="en-US"/>
              </w:rPr>
            </w:pPr>
          </w:p>
        </w:tc>
        <w:tc>
          <w:tcPr>
            <w:tcW w:w="2378" w:type="dxa"/>
          </w:tcPr>
          <w:p w14:paraId="0B4373B0" w14:textId="77777777" w:rsidR="00B013B1" w:rsidRPr="00704AC1" w:rsidRDefault="00B013B1" w:rsidP="0009447E">
            <w:pPr>
              <w:cnfStyle w:val="000000100000" w:firstRow="0" w:lastRow="0" w:firstColumn="0" w:lastColumn="0" w:oddVBand="0" w:evenVBand="0" w:oddHBand="1" w:evenHBand="0" w:firstRowFirstColumn="0" w:firstRowLastColumn="0" w:lastRowFirstColumn="0" w:lastRowLastColumn="0"/>
              <w:rPr>
                <w:b/>
                <w:bCs/>
                <w:sz w:val="15"/>
                <w:szCs w:val="15"/>
                <w:lang w:val="en-US"/>
              </w:rPr>
            </w:pPr>
            <w:r w:rsidRPr="00704AC1">
              <w:rPr>
                <w:b/>
                <w:bCs/>
                <w:sz w:val="15"/>
                <w:szCs w:val="15"/>
                <w:lang w:val="en-US"/>
              </w:rPr>
              <w:t>Sharp blunt discrimination</w:t>
            </w:r>
          </w:p>
          <w:p w14:paraId="35B9D997" w14:textId="77777777" w:rsidR="00B013B1" w:rsidRPr="00704AC1" w:rsidRDefault="00B013B1" w:rsidP="0009447E">
            <w:pPr>
              <w:cnfStyle w:val="000000100000" w:firstRow="0" w:lastRow="0" w:firstColumn="0" w:lastColumn="0" w:oddVBand="0" w:evenVBand="0" w:oddHBand="1" w:evenHBand="0" w:firstRowFirstColumn="0" w:firstRowLastColumn="0" w:lastRowFirstColumn="0" w:lastRowLastColumn="0"/>
              <w:rPr>
                <w:noProof/>
                <w:sz w:val="15"/>
                <w:szCs w:val="15"/>
                <w:lang w:val="en-US"/>
              </w:rPr>
            </w:pPr>
            <w:r w:rsidRPr="00704AC1">
              <w:rPr>
                <w:sz w:val="15"/>
                <w:szCs w:val="15"/>
                <w:lang w:val="en-US"/>
              </w:rPr>
              <w:t>Using a dental probe sharp and blunt ends, the unaffected side is tested first. A minimum of five stimulations would be used and the number recognized by the patient (if less than 3 out of 5 then the test is negative). Whilst this test can illustrate hypoaesthesia with reduced sharp detection on the affected side, this test can also identify mechanical hyperalgesia (increased pain on sharp stimulation) which is often extremely uncomfortable for the patient. Sharp thresholds can be estimated using specially designed algometers not used in this study.</w:t>
            </w:r>
          </w:p>
        </w:tc>
        <w:tc>
          <w:tcPr>
            <w:tcW w:w="2436" w:type="dxa"/>
          </w:tcPr>
          <w:p w14:paraId="35DD479A" w14:textId="77777777" w:rsidR="00B013B1" w:rsidRPr="00704AC1" w:rsidRDefault="00B013B1" w:rsidP="0009447E">
            <w:pPr>
              <w:jc w:val="center"/>
              <w:cnfStyle w:val="000000100000" w:firstRow="0" w:lastRow="0" w:firstColumn="0" w:lastColumn="0" w:oddVBand="0" w:evenVBand="0" w:oddHBand="1" w:evenHBand="0" w:firstRowFirstColumn="0" w:firstRowLastColumn="0" w:lastRowFirstColumn="0" w:lastRowLastColumn="0"/>
              <w:rPr>
                <w:sz w:val="15"/>
                <w:szCs w:val="15"/>
                <w:lang w:val="en-US"/>
              </w:rPr>
            </w:pPr>
            <w:r w:rsidRPr="00704AC1">
              <w:rPr>
                <w:noProof/>
                <w:sz w:val="15"/>
                <w:szCs w:val="15"/>
                <w:lang w:val="en-US"/>
              </w:rPr>
              <w:drawing>
                <wp:inline distT="0" distB="0" distL="0" distR="0" wp14:anchorId="1A5B5214" wp14:editId="3C688462">
                  <wp:extent cx="1404000" cy="900000"/>
                  <wp:effectExtent l="0" t="0" r="5715" b="1905"/>
                  <wp:docPr id="7" name="Afbeelding 7" descr="Afbeelding met persoon, man, stropdas, dr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4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4000" cy="900000"/>
                          </a:xfrm>
                          <a:prstGeom prst="rect">
                            <a:avLst/>
                          </a:prstGeom>
                        </pic:spPr>
                      </pic:pic>
                    </a:graphicData>
                  </a:graphic>
                </wp:inline>
              </w:drawing>
            </w:r>
          </w:p>
          <w:p w14:paraId="0510BF4F" w14:textId="77777777" w:rsidR="00B013B1" w:rsidRPr="00704AC1" w:rsidRDefault="00B013B1" w:rsidP="0009447E">
            <w:pPr>
              <w:jc w:val="center"/>
              <w:cnfStyle w:val="000000100000" w:firstRow="0" w:lastRow="0" w:firstColumn="0" w:lastColumn="0" w:oddVBand="0" w:evenVBand="0" w:oddHBand="1" w:evenHBand="0" w:firstRowFirstColumn="0" w:firstRowLastColumn="0" w:lastRowFirstColumn="0" w:lastRowLastColumn="0"/>
              <w:rPr>
                <w:sz w:val="15"/>
                <w:szCs w:val="15"/>
                <w:lang w:val="en-US"/>
              </w:rPr>
            </w:pPr>
          </w:p>
          <w:p w14:paraId="6E87DD70" w14:textId="77777777" w:rsidR="00B013B1" w:rsidRPr="00704AC1" w:rsidRDefault="00B013B1" w:rsidP="0009447E">
            <w:pPr>
              <w:jc w:val="center"/>
              <w:cnfStyle w:val="000000100000" w:firstRow="0" w:lastRow="0" w:firstColumn="0" w:lastColumn="0" w:oddVBand="0" w:evenVBand="0" w:oddHBand="1" w:evenHBand="0" w:firstRowFirstColumn="0" w:firstRowLastColumn="0" w:lastRowFirstColumn="0" w:lastRowLastColumn="0"/>
              <w:rPr>
                <w:noProof/>
                <w:sz w:val="15"/>
                <w:szCs w:val="15"/>
                <w:lang w:val="en-US"/>
              </w:rPr>
            </w:pPr>
            <w:r w:rsidRPr="00704AC1">
              <w:rPr>
                <w:noProof/>
                <w:sz w:val="15"/>
                <w:szCs w:val="15"/>
                <w:lang w:val="en-US"/>
              </w:rPr>
              <w:drawing>
                <wp:inline distT="0" distB="0" distL="0" distR="0" wp14:anchorId="10AB8982" wp14:editId="1FC6F4E7">
                  <wp:extent cx="1404000" cy="900000"/>
                  <wp:effectExtent l="0" t="0" r="5715" b="1905"/>
                  <wp:docPr id="8" name="Afbeelding 8" descr="Afbeelding met persoon, man, stropdas, dr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45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4000" cy="900000"/>
                          </a:xfrm>
                          <a:prstGeom prst="rect">
                            <a:avLst/>
                          </a:prstGeom>
                        </pic:spPr>
                      </pic:pic>
                    </a:graphicData>
                  </a:graphic>
                </wp:inline>
              </w:drawing>
            </w:r>
          </w:p>
        </w:tc>
      </w:tr>
      <w:tr w:rsidR="00B013B1" w:rsidRPr="00704AC1" w14:paraId="03E37022" w14:textId="77777777" w:rsidTr="00E32BF4">
        <w:trPr>
          <w:trHeight w:val="2445"/>
        </w:trPr>
        <w:tc>
          <w:tcPr>
            <w:cnfStyle w:val="001000000000" w:firstRow="0" w:lastRow="0" w:firstColumn="1" w:lastColumn="0" w:oddVBand="0" w:evenVBand="0" w:oddHBand="0" w:evenHBand="0" w:firstRowFirstColumn="0" w:firstRowLastColumn="0" w:lastRowFirstColumn="0" w:lastRowLastColumn="0"/>
            <w:tcW w:w="2138" w:type="dxa"/>
          </w:tcPr>
          <w:p w14:paraId="5878212A" w14:textId="77777777" w:rsidR="00B013B1" w:rsidRPr="00704AC1" w:rsidRDefault="00B013B1" w:rsidP="0009447E">
            <w:pPr>
              <w:rPr>
                <w:sz w:val="15"/>
                <w:szCs w:val="15"/>
                <w:lang w:val="en-US"/>
              </w:rPr>
            </w:pPr>
            <w:r w:rsidRPr="00704AC1">
              <w:rPr>
                <w:sz w:val="15"/>
                <w:szCs w:val="15"/>
                <w:lang w:val="en-US"/>
              </w:rPr>
              <w:t>Subjective function</w:t>
            </w:r>
          </w:p>
          <w:p w14:paraId="139D3AFA" w14:textId="77777777" w:rsidR="00B013B1" w:rsidRPr="00704AC1" w:rsidRDefault="00B013B1" w:rsidP="0009447E">
            <w:pPr>
              <w:rPr>
                <w:sz w:val="15"/>
                <w:szCs w:val="15"/>
                <w:lang w:val="en-US"/>
              </w:rPr>
            </w:pPr>
            <w:r w:rsidRPr="00704AC1">
              <w:rPr>
                <w:b w:val="0"/>
                <w:bCs w:val="0"/>
                <w:sz w:val="15"/>
                <w:szCs w:val="15"/>
                <w:lang w:val="en-US"/>
              </w:rPr>
              <w:t xml:space="preserve">Using forceps with beaks together firmly tap (minimum 5 times) the patient's hand several times explaining that is 'normal' 10 out of 10 subjective function. Then tap, with the same pressure, over the unaffected side of the face or tongue and repeat the stimulation explaining that should be 10 out of 10. </w:t>
            </w:r>
          </w:p>
          <w:p w14:paraId="2F591B34" w14:textId="5F31BA86" w:rsidR="00B013B1" w:rsidRPr="00704AC1" w:rsidRDefault="00B013B1" w:rsidP="0009447E">
            <w:pPr>
              <w:rPr>
                <w:sz w:val="15"/>
                <w:szCs w:val="15"/>
                <w:lang w:val="en-US"/>
              </w:rPr>
            </w:pPr>
            <w:r w:rsidRPr="00704AC1">
              <w:rPr>
                <w:b w:val="0"/>
                <w:bCs w:val="0"/>
                <w:sz w:val="15"/>
                <w:szCs w:val="15"/>
                <w:lang w:val="en-US"/>
              </w:rPr>
              <w:t>Move your forceps away and explain no stimulation at all is 0 out of 10. Repeat over neuropathic area that you have already confirmed and ask the patient to report the level of stimulus. Everything that feels painful or hyperaesthetic is reported higher than 10 with 20 being the worst stimulus intensity imaginable.</w:t>
            </w:r>
            <w:r w:rsidR="00742EE8">
              <w:rPr>
                <w:b w:val="0"/>
                <w:bCs w:val="0"/>
                <w:sz w:val="15"/>
                <w:szCs w:val="15"/>
                <w:lang w:val="en-US"/>
              </w:rPr>
              <w:t xml:space="preserve"> Everything that feels hypoesthetic is reported lower than 10 with 0 being </w:t>
            </w:r>
            <w:r w:rsidR="00E32BF4">
              <w:rPr>
                <w:b w:val="0"/>
                <w:bCs w:val="0"/>
                <w:sz w:val="15"/>
                <w:szCs w:val="15"/>
                <w:lang w:val="en-US"/>
              </w:rPr>
              <w:t>anesthetic.</w:t>
            </w:r>
          </w:p>
          <w:p w14:paraId="08757169" w14:textId="77777777" w:rsidR="00B013B1" w:rsidRPr="00704AC1" w:rsidRDefault="00B013B1" w:rsidP="0009447E">
            <w:pPr>
              <w:rPr>
                <w:b w:val="0"/>
                <w:bCs w:val="0"/>
                <w:sz w:val="15"/>
                <w:szCs w:val="15"/>
                <w:lang w:val="en-US"/>
              </w:rPr>
            </w:pPr>
            <w:r w:rsidRPr="00704AC1">
              <w:rPr>
                <w:b w:val="0"/>
                <w:bCs w:val="0"/>
                <w:sz w:val="15"/>
                <w:szCs w:val="15"/>
                <w:lang w:val="en-US"/>
              </w:rPr>
              <w:t>This test can be repeated over different domains of the neuropathy (lip vermillion, lip skin and chin skin or over tongue)</w:t>
            </w:r>
          </w:p>
        </w:tc>
        <w:tc>
          <w:tcPr>
            <w:tcW w:w="2110" w:type="dxa"/>
          </w:tcPr>
          <w:p w14:paraId="1C8C829E" w14:textId="77777777" w:rsidR="00B013B1" w:rsidRPr="00704AC1" w:rsidRDefault="00B013B1" w:rsidP="0009447E">
            <w:pPr>
              <w:jc w:val="center"/>
              <w:cnfStyle w:val="000000000000" w:firstRow="0" w:lastRow="0" w:firstColumn="0" w:lastColumn="0" w:oddVBand="0" w:evenVBand="0" w:oddHBand="0" w:evenHBand="0" w:firstRowFirstColumn="0" w:firstRowLastColumn="0" w:lastRowFirstColumn="0" w:lastRowLastColumn="0"/>
              <w:rPr>
                <w:sz w:val="15"/>
                <w:szCs w:val="15"/>
                <w:lang w:val="en-US"/>
              </w:rPr>
            </w:pPr>
            <w:r w:rsidRPr="00704AC1">
              <w:rPr>
                <w:noProof/>
                <w:sz w:val="15"/>
                <w:szCs w:val="15"/>
                <w:lang w:val="en-US"/>
              </w:rPr>
              <w:drawing>
                <wp:inline distT="0" distB="0" distL="0" distR="0" wp14:anchorId="2EAE0FFF" wp14:editId="66A86773">
                  <wp:extent cx="1391575" cy="900000"/>
                  <wp:effectExtent l="0" t="0" r="5715" b="1905"/>
                  <wp:docPr id="5" name="Afbeelding 5" descr="Afbeelding met persoon, man, drage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4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1575" cy="900000"/>
                          </a:xfrm>
                          <a:prstGeom prst="rect">
                            <a:avLst/>
                          </a:prstGeom>
                        </pic:spPr>
                      </pic:pic>
                    </a:graphicData>
                  </a:graphic>
                </wp:inline>
              </w:drawing>
            </w:r>
          </w:p>
        </w:tc>
        <w:tc>
          <w:tcPr>
            <w:tcW w:w="2378" w:type="dxa"/>
          </w:tcPr>
          <w:p w14:paraId="557BA716" w14:textId="77777777" w:rsidR="00B013B1" w:rsidRPr="00704AC1" w:rsidRDefault="00B013B1" w:rsidP="0009447E">
            <w:pPr>
              <w:cnfStyle w:val="000000000000" w:firstRow="0" w:lastRow="0" w:firstColumn="0" w:lastColumn="0" w:oddVBand="0" w:evenVBand="0" w:oddHBand="0" w:evenHBand="0" w:firstRowFirstColumn="0" w:firstRowLastColumn="0" w:lastRowFirstColumn="0" w:lastRowLastColumn="0"/>
              <w:rPr>
                <w:b/>
                <w:bCs/>
                <w:sz w:val="15"/>
                <w:szCs w:val="15"/>
                <w:lang w:val="en-US"/>
              </w:rPr>
            </w:pPr>
            <w:r w:rsidRPr="00704AC1">
              <w:rPr>
                <w:b/>
                <w:bCs/>
                <w:sz w:val="15"/>
                <w:szCs w:val="15"/>
                <w:lang w:val="en-US"/>
              </w:rPr>
              <w:t>Two-point discrimination (TPD)</w:t>
            </w:r>
          </w:p>
          <w:p w14:paraId="77F82AE4" w14:textId="77777777" w:rsidR="00B013B1" w:rsidRDefault="00B013B1" w:rsidP="0009447E">
            <w:pPr>
              <w:cnfStyle w:val="000000000000" w:firstRow="0" w:lastRow="0" w:firstColumn="0" w:lastColumn="0" w:oddVBand="0" w:evenVBand="0" w:oddHBand="0" w:evenHBand="0" w:firstRowFirstColumn="0" w:firstRowLastColumn="0" w:lastRowFirstColumn="0" w:lastRowLastColumn="0"/>
              <w:rPr>
                <w:sz w:val="15"/>
                <w:szCs w:val="15"/>
                <w:lang w:val="en-US"/>
              </w:rPr>
            </w:pPr>
            <w:r w:rsidRPr="00704AC1">
              <w:rPr>
                <w:sz w:val="15"/>
                <w:szCs w:val="15"/>
                <w:lang w:val="en-US"/>
              </w:rPr>
              <w:t>Using college forceps with beaks open and closed (both for five stimulations), TPD function can be estimated. Some authors prefer specially designed calipers which can be set to a specific distance. Normal TPD in the V3 dermatome extraorally ranges from 2-4mm on the lip vermillion to 6-8mm on the skin of the chin.</w:t>
            </w:r>
          </w:p>
          <w:p w14:paraId="7E3C0CEB" w14:textId="77777777" w:rsidR="00E32BF4" w:rsidRDefault="00E32BF4" w:rsidP="00E32BF4">
            <w:pPr>
              <w:cnfStyle w:val="000000000000" w:firstRow="0" w:lastRow="0" w:firstColumn="0" w:lastColumn="0" w:oddVBand="0" w:evenVBand="0" w:oddHBand="0" w:evenHBand="0" w:firstRowFirstColumn="0" w:firstRowLastColumn="0" w:lastRowFirstColumn="0" w:lastRowLastColumn="0"/>
              <w:rPr>
                <w:b/>
                <w:bCs/>
                <w:sz w:val="15"/>
                <w:szCs w:val="15"/>
                <w:lang w:val="en-US"/>
              </w:rPr>
            </w:pPr>
          </w:p>
          <w:p w14:paraId="069267A4" w14:textId="0B7AB9F1" w:rsidR="00E32BF4" w:rsidRPr="00E32BF4" w:rsidRDefault="00E32BF4" w:rsidP="00E32BF4">
            <w:pPr>
              <w:cnfStyle w:val="000000000000" w:firstRow="0" w:lastRow="0" w:firstColumn="0" w:lastColumn="0" w:oddVBand="0" w:evenVBand="0" w:oddHBand="0" w:evenHBand="0" w:firstRowFirstColumn="0" w:firstRowLastColumn="0" w:lastRowFirstColumn="0" w:lastRowLastColumn="0"/>
              <w:rPr>
                <w:b/>
                <w:bCs/>
                <w:sz w:val="15"/>
                <w:szCs w:val="15"/>
                <w:lang w:val="en-US"/>
              </w:rPr>
            </w:pPr>
            <w:r w:rsidRPr="00E32BF4">
              <w:rPr>
                <w:b/>
                <w:bCs/>
                <w:sz w:val="15"/>
                <w:szCs w:val="15"/>
                <w:lang w:val="en-US"/>
              </w:rPr>
              <w:t>Light touch</w:t>
            </w:r>
          </w:p>
          <w:p w14:paraId="03C5DFF9" w14:textId="399EA6F7" w:rsidR="00E32BF4" w:rsidRPr="00704AC1" w:rsidRDefault="00E32BF4" w:rsidP="00E32BF4">
            <w:pPr>
              <w:cnfStyle w:val="000000000000" w:firstRow="0" w:lastRow="0" w:firstColumn="0" w:lastColumn="0" w:oddVBand="0" w:evenVBand="0" w:oddHBand="0" w:evenHBand="0" w:firstRowFirstColumn="0" w:firstRowLastColumn="0" w:lastRowFirstColumn="0" w:lastRowLastColumn="0"/>
              <w:rPr>
                <w:noProof/>
                <w:sz w:val="15"/>
                <w:szCs w:val="15"/>
                <w:lang w:val="en-US"/>
              </w:rPr>
            </w:pPr>
            <w:r w:rsidRPr="00704AC1">
              <w:rPr>
                <w:sz w:val="15"/>
                <w:szCs w:val="15"/>
                <w:lang w:val="en-US"/>
              </w:rPr>
              <w:t>To evaluate light touch thresholds von Frey filaments are highly recommended. If these are not be available, a pledget can be used instead, placing repeated (minimum 5 times) on normal side first then repeated on affected side; ask the patient to report differences. If the patient is experiencing numbness on stimulation, they will have reduced light touch detection thresholds. However, if the patient is suffering from hyperaesthesia and possible allodynia (pain on touch) this test can be very uncomfortable.</w:t>
            </w:r>
          </w:p>
        </w:tc>
        <w:tc>
          <w:tcPr>
            <w:tcW w:w="2436" w:type="dxa"/>
          </w:tcPr>
          <w:p w14:paraId="592DF2ED" w14:textId="77777777" w:rsidR="00B013B1" w:rsidRPr="00704AC1" w:rsidRDefault="00B013B1" w:rsidP="0009447E">
            <w:pPr>
              <w:jc w:val="center"/>
              <w:cnfStyle w:val="000000000000" w:firstRow="0" w:lastRow="0" w:firstColumn="0" w:lastColumn="0" w:oddVBand="0" w:evenVBand="0" w:oddHBand="0" w:evenHBand="0" w:firstRowFirstColumn="0" w:firstRowLastColumn="0" w:lastRowFirstColumn="0" w:lastRowLastColumn="0"/>
              <w:rPr>
                <w:sz w:val="15"/>
                <w:szCs w:val="15"/>
                <w:lang w:val="en-US"/>
              </w:rPr>
            </w:pPr>
            <w:r w:rsidRPr="00704AC1">
              <w:rPr>
                <w:noProof/>
                <w:sz w:val="15"/>
                <w:szCs w:val="15"/>
                <w:lang w:val="en-US"/>
              </w:rPr>
              <w:drawing>
                <wp:inline distT="0" distB="0" distL="0" distR="0" wp14:anchorId="6595A15C" wp14:editId="385C268E">
                  <wp:extent cx="1404000" cy="900000"/>
                  <wp:effectExtent l="0" t="0" r="5715" b="1905"/>
                  <wp:docPr id="10" name="Afbeelding 10" descr="Afbeelding met persoon, man, dragen, stropd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45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4000" cy="900000"/>
                          </a:xfrm>
                          <a:prstGeom prst="rect">
                            <a:avLst/>
                          </a:prstGeom>
                        </pic:spPr>
                      </pic:pic>
                    </a:graphicData>
                  </a:graphic>
                </wp:inline>
              </w:drawing>
            </w:r>
          </w:p>
          <w:p w14:paraId="52CD5306" w14:textId="77777777" w:rsidR="00B013B1" w:rsidRPr="00704AC1" w:rsidRDefault="00B013B1" w:rsidP="0009447E">
            <w:pPr>
              <w:jc w:val="center"/>
              <w:cnfStyle w:val="000000000000" w:firstRow="0" w:lastRow="0" w:firstColumn="0" w:lastColumn="0" w:oddVBand="0" w:evenVBand="0" w:oddHBand="0" w:evenHBand="0" w:firstRowFirstColumn="0" w:firstRowLastColumn="0" w:lastRowFirstColumn="0" w:lastRowLastColumn="0"/>
              <w:rPr>
                <w:sz w:val="15"/>
                <w:szCs w:val="15"/>
                <w:lang w:val="en-US"/>
              </w:rPr>
            </w:pPr>
          </w:p>
          <w:p w14:paraId="5B1D8BF9" w14:textId="77777777" w:rsidR="00B013B1" w:rsidRDefault="00B013B1" w:rsidP="0009447E">
            <w:pPr>
              <w:jc w:val="center"/>
              <w:cnfStyle w:val="000000000000" w:firstRow="0" w:lastRow="0" w:firstColumn="0" w:lastColumn="0" w:oddVBand="0" w:evenVBand="0" w:oddHBand="0" w:evenHBand="0" w:firstRowFirstColumn="0" w:firstRowLastColumn="0" w:lastRowFirstColumn="0" w:lastRowLastColumn="0"/>
              <w:rPr>
                <w:noProof/>
                <w:sz w:val="15"/>
                <w:szCs w:val="15"/>
                <w:lang w:val="en-US"/>
              </w:rPr>
            </w:pPr>
            <w:r w:rsidRPr="00704AC1">
              <w:rPr>
                <w:noProof/>
                <w:sz w:val="15"/>
                <w:szCs w:val="15"/>
                <w:lang w:val="en-US"/>
              </w:rPr>
              <w:drawing>
                <wp:inline distT="0" distB="0" distL="0" distR="0" wp14:anchorId="423FF126" wp14:editId="2A13174C">
                  <wp:extent cx="1404000" cy="900000"/>
                  <wp:effectExtent l="0" t="0" r="5715" b="1905"/>
                  <wp:docPr id="9" name="Afbeelding 9" descr="Afbeelding met persoon, man, dragen, stropd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45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4000" cy="900000"/>
                          </a:xfrm>
                          <a:prstGeom prst="rect">
                            <a:avLst/>
                          </a:prstGeom>
                        </pic:spPr>
                      </pic:pic>
                    </a:graphicData>
                  </a:graphic>
                </wp:inline>
              </w:drawing>
            </w:r>
          </w:p>
          <w:p w14:paraId="29F700B9" w14:textId="015D0AFC" w:rsidR="00E32BF4" w:rsidRPr="00704AC1" w:rsidRDefault="00E32BF4" w:rsidP="0009447E">
            <w:pPr>
              <w:jc w:val="center"/>
              <w:cnfStyle w:val="000000000000" w:firstRow="0" w:lastRow="0" w:firstColumn="0" w:lastColumn="0" w:oddVBand="0" w:evenVBand="0" w:oddHBand="0" w:evenHBand="0" w:firstRowFirstColumn="0" w:firstRowLastColumn="0" w:lastRowFirstColumn="0" w:lastRowLastColumn="0"/>
              <w:rPr>
                <w:noProof/>
                <w:sz w:val="15"/>
                <w:szCs w:val="15"/>
                <w:lang w:val="en-US"/>
              </w:rPr>
            </w:pPr>
            <w:r w:rsidRPr="00704AC1">
              <w:rPr>
                <w:noProof/>
                <w:sz w:val="15"/>
                <w:szCs w:val="15"/>
                <w:lang w:val="en-US"/>
              </w:rPr>
              <w:drawing>
                <wp:inline distT="0" distB="0" distL="0" distR="0" wp14:anchorId="697B254F" wp14:editId="34534324">
                  <wp:extent cx="1405091" cy="900000"/>
                  <wp:effectExtent l="0" t="0" r="5080" b="1905"/>
                  <wp:docPr id="6" name="Afbeelding 6" descr="Afbeelding met persoon, man, dragen, stropd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449.jpg"/>
                          <pic:cNvPicPr/>
                        </pic:nvPicPr>
                        <pic:blipFill rotWithShape="1">
                          <a:blip r:embed="rId18" cstate="print">
                            <a:extLst>
                              <a:ext uri="{28A0092B-C50C-407E-A947-70E740481C1C}">
                                <a14:useLocalDpi xmlns:a14="http://schemas.microsoft.com/office/drawing/2010/main" val="0"/>
                              </a:ext>
                            </a:extLst>
                          </a:blip>
                          <a:srcRect l="8130" r="6974"/>
                          <a:stretch/>
                        </pic:blipFill>
                        <pic:spPr bwMode="auto">
                          <a:xfrm>
                            <a:off x="0" y="0"/>
                            <a:ext cx="1405091" cy="9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5EA777" w14:textId="77777777" w:rsidR="00AB06EF" w:rsidRPr="006C35DF" w:rsidRDefault="00AB06EF" w:rsidP="003C6750">
      <w:pPr>
        <w:jc w:val="both"/>
        <w:rPr>
          <w:rFonts w:cstheme="minorHAnsi"/>
          <w:bCs/>
          <w:lang w:val="en-US"/>
        </w:rPr>
      </w:pPr>
    </w:p>
    <w:p w14:paraId="7D303545" w14:textId="2F91CEC3" w:rsidR="003C6750" w:rsidRPr="006C35DF" w:rsidRDefault="003C6750" w:rsidP="003C6750">
      <w:pPr>
        <w:jc w:val="both"/>
        <w:rPr>
          <w:rFonts w:cstheme="minorHAnsi"/>
          <w:bCs/>
          <w:lang w:val="en-US"/>
        </w:rPr>
      </w:pPr>
      <w:r w:rsidRPr="006C35DF">
        <w:rPr>
          <w:rFonts w:cstheme="minorHAnsi"/>
          <w:bCs/>
        </w:rPr>
        <w:t>There is almost always an area of abnormal sensation (with the exception in trigeminal neuralgia which is NOT post</w:t>
      </w:r>
      <w:r w:rsidR="00F92A81">
        <w:rPr>
          <w:rFonts w:cstheme="minorHAnsi"/>
          <w:bCs/>
        </w:rPr>
        <w:t>-</w:t>
      </w:r>
      <w:r w:rsidRPr="006C35DF">
        <w:rPr>
          <w:rFonts w:cstheme="minorHAnsi"/>
          <w:bCs/>
        </w:rPr>
        <w:t xml:space="preserve">traumatic) </w:t>
      </w:r>
      <w:r w:rsidR="00F92A81">
        <w:rPr>
          <w:rFonts w:cstheme="minorHAnsi"/>
          <w:bCs/>
        </w:rPr>
        <w:t xml:space="preserve">and </w:t>
      </w:r>
      <w:r w:rsidRPr="006C35DF">
        <w:rPr>
          <w:rFonts w:cstheme="minorHAnsi"/>
          <w:bCs/>
        </w:rPr>
        <w:t>the maximum reported pain is associated with the area of sensory deficit (i.e. suffering from a mixture of pain, numbness and altered sensation). This is an important diagnostic feature for sensory nerve neuropathy.</w:t>
      </w:r>
      <w:r w:rsidR="00C76EDE">
        <w:rPr>
          <w:rFonts w:cstheme="minorHAnsi"/>
          <w:bCs/>
        </w:rPr>
        <w:t xml:space="preserve"> Commonly used descriptors are illustrated in Table 2. </w:t>
      </w:r>
    </w:p>
    <w:p w14:paraId="39C265D9" w14:textId="325CBC30" w:rsidR="00C76EDE" w:rsidRPr="006C35DF" w:rsidRDefault="00C76EDE" w:rsidP="00C76EDE">
      <w:pPr>
        <w:jc w:val="both"/>
        <w:rPr>
          <w:rFonts w:cstheme="minorHAnsi"/>
          <w:bCs/>
        </w:rPr>
      </w:pPr>
      <w:r w:rsidRPr="006C35DF">
        <w:rPr>
          <w:rFonts w:cstheme="minorHAnsi"/>
          <w:bCs/>
        </w:rPr>
        <w:t>Table</w:t>
      </w:r>
      <w:r>
        <w:rPr>
          <w:rFonts w:cstheme="minorHAnsi"/>
          <w:bCs/>
        </w:rPr>
        <w:t xml:space="preserve"> 2. Commonly used descriptors and their definition (source: IASP).</w:t>
      </w:r>
    </w:p>
    <w:tbl>
      <w:tblPr>
        <w:tblStyle w:val="Tabelraster"/>
        <w:tblW w:w="0" w:type="auto"/>
        <w:tblLook w:val="04A0" w:firstRow="1" w:lastRow="0" w:firstColumn="1" w:lastColumn="0" w:noHBand="0" w:noVBand="1"/>
      </w:tblPr>
      <w:tblGrid>
        <w:gridCol w:w="4508"/>
        <w:gridCol w:w="4508"/>
      </w:tblGrid>
      <w:tr w:rsidR="00C76EDE" w:rsidRPr="00C76EDE" w14:paraId="1D4F5F1D" w14:textId="77777777" w:rsidTr="0009447E">
        <w:tc>
          <w:tcPr>
            <w:tcW w:w="4508" w:type="dxa"/>
            <w:shd w:val="clear" w:color="auto" w:fill="808080" w:themeFill="background1" w:themeFillShade="80"/>
          </w:tcPr>
          <w:p w14:paraId="71CA192F" w14:textId="77777777" w:rsidR="00C76EDE" w:rsidRPr="00C76EDE" w:rsidRDefault="00C76EDE" w:rsidP="0009447E">
            <w:pPr>
              <w:jc w:val="both"/>
              <w:rPr>
                <w:rFonts w:asciiTheme="minorHAnsi" w:hAnsiTheme="minorHAnsi" w:cstheme="minorHAnsi"/>
                <w:b/>
                <w:bCs/>
                <w:sz w:val="16"/>
                <w:szCs w:val="16"/>
              </w:rPr>
            </w:pPr>
            <w:r w:rsidRPr="00C76EDE">
              <w:rPr>
                <w:rFonts w:asciiTheme="minorHAnsi" w:hAnsiTheme="minorHAnsi" w:cstheme="minorHAnsi"/>
                <w:b/>
                <w:bCs/>
                <w:sz w:val="16"/>
                <w:szCs w:val="16"/>
              </w:rPr>
              <w:lastRenderedPageBreak/>
              <w:t>Descriptor</w:t>
            </w:r>
          </w:p>
        </w:tc>
        <w:tc>
          <w:tcPr>
            <w:tcW w:w="4508" w:type="dxa"/>
            <w:shd w:val="clear" w:color="auto" w:fill="808080" w:themeFill="background1" w:themeFillShade="80"/>
          </w:tcPr>
          <w:p w14:paraId="71351ABB" w14:textId="77777777" w:rsidR="00C76EDE" w:rsidRPr="00C76EDE" w:rsidRDefault="00C76EDE" w:rsidP="0009447E">
            <w:pPr>
              <w:jc w:val="both"/>
              <w:rPr>
                <w:rFonts w:asciiTheme="minorHAnsi" w:hAnsiTheme="minorHAnsi" w:cstheme="minorHAnsi"/>
                <w:b/>
                <w:bCs/>
                <w:sz w:val="16"/>
                <w:szCs w:val="16"/>
              </w:rPr>
            </w:pPr>
            <w:r w:rsidRPr="00C76EDE">
              <w:rPr>
                <w:rFonts w:asciiTheme="minorHAnsi" w:hAnsiTheme="minorHAnsi" w:cstheme="minorHAnsi"/>
                <w:b/>
                <w:bCs/>
                <w:sz w:val="16"/>
                <w:szCs w:val="16"/>
              </w:rPr>
              <w:t>Definition</w:t>
            </w:r>
          </w:p>
        </w:tc>
      </w:tr>
      <w:tr w:rsidR="00C76EDE" w:rsidRPr="00C76EDE" w14:paraId="762D6FBE" w14:textId="77777777" w:rsidTr="0009447E">
        <w:tc>
          <w:tcPr>
            <w:tcW w:w="9016" w:type="dxa"/>
            <w:gridSpan w:val="2"/>
            <w:shd w:val="clear" w:color="auto" w:fill="BFBFBF" w:themeFill="background1" w:themeFillShade="BF"/>
          </w:tcPr>
          <w:p w14:paraId="090093A9" w14:textId="77777777" w:rsidR="00C76EDE" w:rsidRPr="00C76EDE" w:rsidRDefault="00C76EDE" w:rsidP="0009447E">
            <w:pPr>
              <w:jc w:val="both"/>
              <w:rPr>
                <w:rFonts w:asciiTheme="minorHAnsi" w:hAnsiTheme="minorHAnsi" w:cstheme="minorHAnsi"/>
                <w:sz w:val="16"/>
                <w:szCs w:val="16"/>
              </w:rPr>
            </w:pPr>
            <w:r w:rsidRPr="00C76EDE">
              <w:rPr>
                <w:rFonts w:asciiTheme="minorHAnsi" w:hAnsiTheme="minorHAnsi" w:cstheme="minorHAnsi"/>
                <w:sz w:val="16"/>
                <w:szCs w:val="16"/>
              </w:rPr>
              <w:t>Negative symptoms</w:t>
            </w:r>
          </w:p>
        </w:tc>
      </w:tr>
      <w:tr w:rsidR="00C76EDE" w:rsidRPr="00C76EDE" w14:paraId="782A4DE4" w14:textId="77777777" w:rsidTr="0009447E">
        <w:tc>
          <w:tcPr>
            <w:tcW w:w="4508" w:type="dxa"/>
          </w:tcPr>
          <w:p w14:paraId="4824B273"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Anaesthesia</w:t>
            </w:r>
          </w:p>
        </w:tc>
        <w:tc>
          <w:tcPr>
            <w:tcW w:w="4508" w:type="dxa"/>
          </w:tcPr>
          <w:p w14:paraId="42DECB4E"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Complete absence of sensation to stimuli</w:t>
            </w:r>
          </w:p>
        </w:tc>
      </w:tr>
      <w:tr w:rsidR="00C76EDE" w:rsidRPr="00C76EDE" w14:paraId="740D6E1F" w14:textId="77777777" w:rsidTr="0009447E">
        <w:tc>
          <w:tcPr>
            <w:tcW w:w="4508" w:type="dxa"/>
          </w:tcPr>
          <w:p w14:paraId="09FB2CE0"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Hypoesthesia</w:t>
            </w:r>
          </w:p>
        </w:tc>
        <w:tc>
          <w:tcPr>
            <w:tcW w:w="4508" w:type="dxa"/>
          </w:tcPr>
          <w:p w14:paraId="03F54966"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Reduced perception of nonpainful stimuli</w:t>
            </w:r>
          </w:p>
        </w:tc>
      </w:tr>
      <w:tr w:rsidR="00C76EDE" w:rsidRPr="00C76EDE" w14:paraId="7488BE9C" w14:textId="77777777" w:rsidTr="0009447E">
        <w:tc>
          <w:tcPr>
            <w:tcW w:w="4508" w:type="dxa"/>
          </w:tcPr>
          <w:p w14:paraId="42469193"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Hypoalgesia</w:t>
            </w:r>
          </w:p>
        </w:tc>
        <w:tc>
          <w:tcPr>
            <w:tcW w:w="4508" w:type="dxa"/>
          </w:tcPr>
          <w:p w14:paraId="284B870D"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Reduced perception of painful stimuli</w:t>
            </w:r>
          </w:p>
        </w:tc>
      </w:tr>
      <w:tr w:rsidR="00C76EDE" w:rsidRPr="00C76EDE" w14:paraId="26B07DC4" w14:textId="77777777" w:rsidTr="0009447E">
        <w:tc>
          <w:tcPr>
            <w:tcW w:w="4508" w:type="dxa"/>
          </w:tcPr>
          <w:p w14:paraId="3D054C0D"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Thermo hypoesthesia</w:t>
            </w:r>
          </w:p>
        </w:tc>
        <w:tc>
          <w:tcPr>
            <w:tcW w:w="4508" w:type="dxa"/>
          </w:tcPr>
          <w:p w14:paraId="0F435F6C"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Reduced perception of heat</w:t>
            </w:r>
          </w:p>
        </w:tc>
      </w:tr>
      <w:tr w:rsidR="00C76EDE" w:rsidRPr="00C76EDE" w14:paraId="28808DAD" w14:textId="77777777" w:rsidTr="0009447E">
        <w:tc>
          <w:tcPr>
            <w:tcW w:w="9016" w:type="dxa"/>
            <w:gridSpan w:val="2"/>
            <w:shd w:val="clear" w:color="auto" w:fill="BFBFBF" w:themeFill="background1" w:themeFillShade="BF"/>
          </w:tcPr>
          <w:p w14:paraId="5BD57F46" w14:textId="77777777" w:rsidR="00C76EDE" w:rsidRPr="00C76EDE" w:rsidRDefault="00C76EDE" w:rsidP="0009447E">
            <w:pPr>
              <w:jc w:val="both"/>
              <w:rPr>
                <w:rFonts w:asciiTheme="minorHAnsi" w:hAnsiTheme="minorHAnsi" w:cstheme="minorHAnsi"/>
                <w:sz w:val="16"/>
                <w:szCs w:val="16"/>
              </w:rPr>
            </w:pPr>
            <w:r w:rsidRPr="00C76EDE">
              <w:rPr>
                <w:rFonts w:asciiTheme="minorHAnsi" w:hAnsiTheme="minorHAnsi" w:cstheme="minorHAnsi"/>
                <w:sz w:val="16"/>
                <w:szCs w:val="16"/>
              </w:rPr>
              <w:t>Positive symptoms</w:t>
            </w:r>
          </w:p>
        </w:tc>
      </w:tr>
      <w:tr w:rsidR="00C76EDE" w:rsidRPr="00C76EDE" w14:paraId="20B19FBC" w14:textId="77777777" w:rsidTr="0009447E">
        <w:tc>
          <w:tcPr>
            <w:tcW w:w="9016" w:type="dxa"/>
            <w:gridSpan w:val="2"/>
            <w:shd w:val="clear" w:color="auto" w:fill="D9D9D9" w:themeFill="background1" w:themeFillShade="D9"/>
          </w:tcPr>
          <w:p w14:paraId="66C7F93E"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Spontaneous pain</w:t>
            </w:r>
          </w:p>
        </w:tc>
      </w:tr>
      <w:tr w:rsidR="00C76EDE" w:rsidRPr="00C76EDE" w14:paraId="157383A8" w14:textId="77777777" w:rsidTr="0009447E">
        <w:tc>
          <w:tcPr>
            <w:tcW w:w="4508" w:type="dxa"/>
          </w:tcPr>
          <w:p w14:paraId="5949AB77"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Paraesthesia</w:t>
            </w:r>
          </w:p>
        </w:tc>
        <w:tc>
          <w:tcPr>
            <w:tcW w:w="4508" w:type="dxa"/>
          </w:tcPr>
          <w:p w14:paraId="7A43C899"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Nonpainful tingling sensation</w:t>
            </w:r>
          </w:p>
        </w:tc>
      </w:tr>
      <w:tr w:rsidR="00C76EDE" w:rsidRPr="00C76EDE" w14:paraId="3F41C959" w14:textId="77777777" w:rsidTr="0009447E">
        <w:tc>
          <w:tcPr>
            <w:tcW w:w="4508" w:type="dxa"/>
          </w:tcPr>
          <w:p w14:paraId="0B8E7111"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Paroxysmal pain</w:t>
            </w:r>
          </w:p>
        </w:tc>
        <w:tc>
          <w:tcPr>
            <w:tcW w:w="4508" w:type="dxa"/>
          </w:tcPr>
          <w:p w14:paraId="72945305"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Shooting pain that occurs intermittently for seconds at a time</w:t>
            </w:r>
          </w:p>
        </w:tc>
      </w:tr>
      <w:tr w:rsidR="00C76EDE" w:rsidRPr="00C76EDE" w14:paraId="084C004C" w14:textId="77777777" w:rsidTr="0009447E">
        <w:tc>
          <w:tcPr>
            <w:tcW w:w="4508" w:type="dxa"/>
          </w:tcPr>
          <w:p w14:paraId="59D62FC6"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Causalgia</w:t>
            </w:r>
          </w:p>
        </w:tc>
        <w:tc>
          <w:tcPr>
            <w:tcW w:w="4508" w:type="dxa"/>
          </w:tcPr>
          <w:p w14:paraId="08F3B3F9"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Sustained burning pain, allodynia, hyperpathia can be combined with vasomotor or sudomotor dysfunction and trophic changes</w:t>
            </w:r>
          </w:p>
        </w:tc>
      </w:tr>
      <w:tr w:rsidR="00C76EDE" w:rsidRPr="00C76EDE" w14:paraId="4ADCAD7A" w14:textId="77777777" w:rsidTr="0009447E">
        <w:tc>
          <w:tcPr>
            <w:tcW w:w="4508" w:type="dxa"/>
          </w:tcPr>
          <w:p w14:paraId="66B416DC"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Dysesthesia</w:t>
            </w:r>
          </w:p>
        </w:tc>
        <w:tc>
          <w:tcPr>
            <w:tcW w:w="4508" w:type="dxa"/>
          </w:tcPr>
          <w:p w14:paraId="25DDD90E"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Unpleasant abnormal sensations, spontaneous or evoked</w:t>
            </w:r>
          </w:p>
        </w:tc>
      </w:tr>
      <w:tr w:rsidR="00C76EDE" w:rsidRPr="00C76EDE" w14:paraId="58827B8D" w14:textId="77777777" w:rsidTr="0009447E">
        <w:tc>
          <w:tcPr>
            <w:tcW w:w="9016" w:type="dxa"/>
            <w:gridSpan w:val="2"/>
            <w:shd w:val="clear" w:color="auto" w:fill="D9D9D9" w:themeFill="background1" w:themeFillShade="D9"/>
          </w:tcPr>
          <w:p w14:paraId="0EF7EE6D"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Stimulus-</w:t>
            </w:r>
            <w:r w:rsidRPr="00C76EDE">
              <w:rPr>
                <w:rFonts w:asciiTheme="minorHAnsi" w:hAnsiTheme="minorHAnsi" w:cstheme="minorHAnsi"/>
                <w:bCs/>
                <w:sz w:val="16"/>
                <w:szCs w:val="16"/>
                <w:shd w:val="clear" w:color="auto" w:fill="D9D9D9" w:themeFill="background1" w:themeFillShade="D9"/>
              </w:rPr>
              <w:t>induced</w:t>
            </w:r>
            <w:r w:rsidRPr="00C76EDE">
              <w:rPr>
                <w:rFonts w:asciiTheme="minorHAnsi" w:hAnsiTheme="minorHAnsi" w:cstheme="minorHAnsi"/>
                <w:bCs/>
                <w:sz w:val="16"/>
                <w:szCs w:val="16"/>
              </w:rPr>
              <w:t xml:space="preserve"> pain</w:t>
            </w:r>
          </w:p>
        </w:tc>
      </w:tr>
      <w:tr w:rsidR="00C76EDE" w:rsidRPr="00C76EDE" w14:paraId="09A6D572" w14:textId="77777777" w:rsidTr="0009447E">
        <w:tc>
          <w:tcPr>
            <w:tcW w:w="4508" w:type="dxa"/>
          </w:tcPr>
          <w:p w14:paraId="20CAB3A8"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Allodynia</w:t>
            </w:r>
          </w:p>
        </w:tc>
        <w:tc>
          <w:tcPr>
            <w:tcW w:w="4508" w:type="dxa"/>
          </w:tcPr>
          <w:p w14:paraId="1B5AE8EF"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Pain induced by a nonpainful stimulus</w:t>
            </w:r>
          </w:p>
        </w:tc>
      </w:tr>
      <w:tr w:rsidR="00C76EDE" w:rsidRPr="00C76EDE" w14:paraId="67E099D7" w14:textId="77777777" w:rsidTr="0009447E">
        <w:tc>
          <w:tcPr>
            <w:tcW w:w="4508" w:type="dxa"/>
          </w:tcPr>
          <w:p w14:paraId="605727DD"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Hyperalgesia</w:t>
            </w:r>
          </w:p>
        </w:tc>
        <w:tc>
          <w:tcPr>
            <w:tcW w:w="4508" w:type="dxa"/>
          </w:tcPr>
          <w:p w14:paraId="0AA144FF"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Increased pain by a painful stimulus</w:t>
            </w:r>
          </w:p>
        </w:tc>
      </w:tr>
      <w:tr w:rsidR="00C76EDE" w:rsidRPr="00C76EDE" w14:paraId="4B001E9C" w14:textId="77777777" w:rsidTr="0009447E">
        <w:tc>
          <w:tcPr>
            <w:tcW w:w="4508" w:type="dxa"/>
          </w:tcPr>
          <w:p w14:paraId="2E7AB794"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Hyperpathia - Summation</w:t>
            </w:r>
          </w:p>
        </w:tc>
        <w:tc>
          <w:tcPr>
            <w:tcW w:w="4508" w:type="dxa"/>
          </w:tcPr>
          <w:p w14:paraId="34E186E0" w14:textId="77777777" w:rsidR="00C76EDE" w:rsidRPr="00C76EDE" w:rsidRDefault="00C76EDE" w:rsidP="0009447E">
            <w:pPr>
              <w:jc w:val="both"/>
              <w:rPr>
                <w:rFonts w:asciiTheme="minorHAnsi" w:hAnsiTheme="minorHAnsi" w:cstheme="minorHAnsi"/>
                <w:bCs/>
                <w:sz w:val="16"/>
                <w:szCs w:val="16"/>
              </w:rPr>
            </w:pPr>
            <w:r w:rsidRPr="00C76EDE">
              <w:rPr>
                <w:rFonts w:asciiTheme="minorHAnsi" w:hAnsiTheme="minorHAnsi" w:cstheme="minorHAnsi"/>
                <w:bCs/>
                <w:sz w:val="16"/>
                <w:szCs w:val="16"/>
              </w:rPr>
              <w:t>Increasing amounts of pain due to a repetitive stimulus</w:t>
            </w:r>
          </w:p>
        </w:tc>
      </w:tr>
    </w:tbl>
    <w:p w14:paraId="1B851604" w14:textId="653C5A74" w:rsidR="00EB3E2E" w:rsidRDefault="00EB3E2E" w:rsidP="003C6750">
      <w:pPr>
        <w:jc w:val="both"/>
        <w:rPr>
          <w:rFonts w:cstheme="minorHAnsi"/>
          <w:bCs/>
        </w:rPr>
      </w:pPr>
    </w:p>
    <w:p w14:paraId="1A2DB70C" w14:textId="6AEFC8EF" w:rsidR="003C6750" w:rsidRPr="00AE3D36" w:rsidRDefault="003C6750" w:rsidP="003C6750">
      <w:pPr>
        <w:jc w:val="both"/>
        <w:rPr>
          <w:rFonts w:cstheme="minorHAnsi"/>
          <w:bCs/>
          <w:lang w:val="en-US"/>
        </w:rPr>
      </w:pPr>
      <w:r w:rsidRPr="006C35DF">
        <w:rPr>
          <w:rFonts w:cstheme="minorHAnsi"/>
          <w:bCs/>
        </w:rPr>
        <w:t>Neuropathic pain commonly presents with allodynia (pain on non-noxious stimuli) hyperalgesia (increased pain to a noxious stimuli) and hyperpathia (continued altered sensation or pain after stimulation ceases). In 50-70% of patients report a combination of numbness, altered sensation and pain is experienced, the pain may be either spontaneous ongoing pain, which often had a burning character, and spontaneous shooting, electric shock-like sensations (neuralgia).</w:t>
      </w:r>
      <w:r w:rsidRPr="006C35DF">
        <w:rPr>
          <w:rFonts w:cstheme="minorHAnsi"/>
          <w:bCs/>
          <w:vertAlign w:val="superscript"/>
        </w:rPr>
        <w:t xml:space="preserve"> </w:t>
      </w:r>
      <w:r w:rsidRPr="006C35DF">
        <w:rPr>
          <w:rFonts w:cstheme="minorHAnsi"/>
          <w:bCs/>
        </w:rPr>
        <w:t>Evoked pain due to touch or cold often leads patients to having difficulties with daily function, such as eating, socialising</w:t>
      </w:r>
      <w:r w:rsidRPr="006C35DF">
        <w:rPr>
          <w:rFonts w:cstheme="minorHAnsi"/>
          <w:bCs/>
          <w:lang w:val="en-US"/>
        </w:rPr>
        <w:t>, kissing, speech,</w:t>
      </w:r>
      <w:r w:rsidRPr="006C35DF">
        <w:rPr>
          <w:rFonts w:cstheme="minorHAnsi"/>
          <w:bCs/>
        </w:rPr>
        <w:t xml:space="preserve"> and drinking</w:t>
      </w:r>
      <w:r w:rsidR="00A3201B">
        <w:rPr>
          <w:rFonts w:cstheme="minorHAnsi"/>
          <w:bCs/>
        </w:rPr>
        <w:t xml:space="preserve"> </w:t>
      </w:r>
      <w:r w:rsidR="00A3201B">
        <w:rPr>
          <w:rFonts w:cstheme="minorHAnsi"/>
          <w:bCs/>
        </w:rPr>
        <w:fldChar w:fldCharType="begin" w:fldLock="1"/>
      </w:r>
      <w:r w:rsidR="002D14D0">
        <w:rPr>
          <w:rFonts w:cstheme="minorHAnsi"/>
          <w:bCs/>
        </w:rPr>
        <w:instrText>ADDIN CSL_CITATION {"citationItems":[{"id":"ITEM-1","itemData":{"DOI":"10.1111/joor.13058","ISSN":"0305-182X","author":[{"dropping-particle":"","family":"Cruyssen","given":"Fréderic","non-dropping-particle":"Van der","parse-names":false,"suffix":""},{"dropping-particle":"","family":"Peeters","given":"Frederik","non-dropping-particle":"","parse-names":false,"suffix":""},{"dropping-particle":"","family":"Gill","given":"Thomas","non-dropping-particle":"","parse-names":false,"suffix":""},{"dropping-particle":"","family":"Laat","given":"Antoon","non-dropping-particle":"De","parse-names":false,"suffix":""},{"dropping-particle":"","family":"Jacobs","given":"Reinhilde","non-dropping-particle":"","parse-names":false,"suffix":""},{"dropping-particle":"","family":"Politis","given":"Constantinus","non-dropping-particle":"","parse-names":false,"suffix":""},{"dropping-particle":"","family":"Renton","given":"Tara","non-dropping-particle":"","parse-names":false,"suffix":""}],"container-title":"Journal of Oral Rehabilitation","id":"ITEM-1","issue":"December 2019","issued":{"date-parts":[["2020","7","20"]]},"page":"joor.13058","title":"Signs and symptoms, quality of life and psychosocial data in 1331 post‐traumatic trigeminal neuropathy patients seen in two tertiary referral centres in two countries","type":"article-journal"},"uris":["http://www.mendeley.com/documents/?uuid=4cf86a2d-066b-4374-a336-cb3da4b3b9e9"]}],"mendeley":{"formattedCitation":"(Fréderic Van der Cruyssen et al., 2020)","plainTextFormattedCitation":"(Fréderic Van der Cruyssen et al., 2020)","previouslyFormattedCitation":"(Fréderic Van der Cruyssen et al., 2020)"},"properties":{"noteIndex":0},"schema":"https://github.com/citation-style-language/schema/raw/master/csl-citation.json"}</w:instrText>
      </w:r>
      <w:r w:rsidR="00A3201B">
        <w:rPr>
          <w:rFonts w:cstheme="minorHAnsi"/>
          <w:bCs/>
        </w:rPr>
        <w:fldChar w:fldCharType="separate"/>
      </w:r>
      <w:r w:rsidR="00A3201B" w:rsidRPr="00A3201B">
        <w:rPr>
          <w:rFonts w:cstheme="minorHAnsi"/>
          <w:bCs/>
          <w:noProof/>
        </w:rPr>
        <w:t>(Fréderic Van der Cruyssen et al., 2020)</w:t>
      </w:r>
      <w:r w:rsidR="00A3201B">
        <w:rPr>
          <w:rFonts w:cstheme="minorHAnsi"/>
          <w:bCs/>
        </w:rPr>
        <w:fldChar w:fldCharType="end"/>
      </w:r>
      <w:r w:rsidRPr="006C35DF">
        <w:rPr>
          <w:rFonts w:cstheme="minorHAnsi"/>
          <w:bCs/>
        </w:rPr>
        <w:t xml:space="preserve">. </w:t>
      </w:r>
    </w:p>
    <w:p w14:paraId="66D40853" w14:textId="53A0B75A" w:rsidR="003C6750" w:rsidRPr="006C35DF" w:rsidRDefault="003C6750" w:rsidP="003C6750">
      <w:pPr>
        <w:jc w:val="both"/>
        <w:rPr>
          <w:rFonts w:cstheme="minorHAnsi"/>
          <w:bCs/>
        </w:rPr>
      </w:pPr>
      <w:r w:rsidRPr="006C35DF">
        <w:rPr>
          <w:rFonts w:cstheme="minorHAnsi"/>
          <w:bCs/>
        </w:rPr>
        <w:t xml:space="preserve">Validated neuropathic pain quality measures including </w:t>
      </w:r>
      <w:r w:rsidR="00AE3D36">
        <w:rPr>
          <w:rFonts w:cstheme="minorHAnsi"/>
          <w:bCs/>
        </w:rPr>
        <w:t>Douleur Neuropathique-4</w:t>
      </w:r>
      <w:r w:rsidRPr="006C35DF">
        <w:rPr>
          <w:rFonts w:cstheme="minorHAnsi"/>
          <w:bCs/>
        </w:rPr>
        <w:t xml:space="preserve">, PainDetect and LANSS questionnaires are able to qualify the presence of neuropathic pain but the sensitivity and specificity is reduced in the </w:t>
      </w:r>
      <w:r>
        <w:rPr>
          <w:rFonts w:cstheme="minorHAnsi"/>
          <w:bCs/>
        </w:rPr>
        <w:t>t</w:t>
      </w:r>
      <w:r w:rsidRPr="006C35DF">
        <w:rPr>
          <w:rFonts w:cstheme="minorHAnsi"/>
          <w:bCs/>
        </w:rPr>
        <w:t xml:space="preserve">rigeminal region due to questions around pain wearing clothes and when having a bath for example </w:t>
      </w:r>
      <w:r w:rsidRPr="006C35DF">
        <w:rPr>
          <w:rFonts w:cstheme="minorHAnsi"/>
          <w:bCs/>
        </w:rPr>
        <w:fldChar w:fldCharType="begin" w:fldLock="1"/>
      </w:r>
      <w:r w:rsidRPr="006C35DF">
        <w:rPr>
          <w:rFonts w:cstheme="minorHAnsi"/>
          <w:bCs/>
        </w:rPr>
        <w:instrText>ADDIN CSL_CITATION {"citationItems":[{"id":"ITEM-1","itemData":{"DOI":"10.11607/jop.1056","ISBN":"1064-6655 (Print)\\r1064-6655 (Linking)","ISSN":"1064-6655","PMID":"24171179","abstract":"AIMS: To explore the impact of trigeminal nerve injuries on quality of life, including the effect of pain on psychological and affective function.\\n\\nMETHODS: An observational, cross-sectional survey design was employed. Fifty-six patients with inferior alveolar nerve injury (IANI) and 33 patients with lingual nerve injury (LNI) completed standardized self-report measures of pain intensity, pain catastrophizing, self-efficacy to cope with pain, and mood, in addition to generic and oral health-related quality of life (HRQoL) indicators. The impact of pain severity on these aspects of psychosocial function was examined. Summary statistics were calculated for all measures and compared with norms or values of other relevant studies, when available, using t tests. The impact of pain severity on these aspects of psychosocial function was examined using analysis of variance and hierarchical multivariate regression models.\\n\\nRESULTS: The majority of patients reported pain associated with their nerve injury (86%). Nerve injury had a significant impact on all investigated domains, and this was closely linked with reported pain levels. Patients with severe pain showed particularly elevated levels of depression and pain catastrophizing, as well as substantially reduced HRQoL and coping efficacy levels. Pain intensity level was a significant predictor in all models except anxiety, uniquely contributing between 17% and 26% of variance to the prediction of pain catastrophizing, depression, coping efficacy, and generic and oral HRQoL.\\n\\nCONCLUSION: Traumatic injury to the trigeminal nerve is associated with a substantial patient burden, particularly in patients who experience severe neuropathic pain as part of their condition. These findings highlight the need to identify, develop, and evaluate more effective treatments for neuropathic pain in trigeminal nerve injury that will not only provide clinically meaningful reductions in pain but also improve patients' quality of life.","author":[{"dropping-particle":"","family":"Smith","given":"Jared G.","non-dropping-particle":"","parse-names":false,"suffix":""},{"dropping-particle":"","family":"Elias","given":"Leigh-Ann","non-dropping-particle":"","parse-names":false,"suffix":""},{"dropping-particle":"","family":"Yilmaz","given":"Zehra","non-dropping-particle":"","parse-names":false,"suffix":""},{"dropping-particle":"","family":"Barker","given":"Sarah","non-dropping-particle":"","parse-names":false,"suffix":""},{"dropping-particle":"","family":"Shah","given":"Kunal","non-dropping-particle":"","parse-names":false,"suffix":""},{"dropping-particle":"","family":"Shah","given":"Sajni","non-dropping-particle":"","parse-names":false,"suffix":""},{"dropping-particle":"","family":"Renton","given":"Tara","non-dropping-particle":"","parse-names":false,"suffix":""}],"container-title":"Journal of orofacial pain","id":"ITEM-1","issue":"4","issued":{"date-parts":[["2013"]]},"page":"293-303","title":"The psychosocial and affective burden of posttraumatic neuropathy following injuries to the trigeminal nerve.","type":"article-journal","volume":"27"},"uris":["http://www.mendeley.com/documents/?uuid=ac4cd219-98ee-403c-8119-44829e6361f7"]}],"mendeley":{"formattedCitation":"(Smith et al., 2013)","plainTextFormattedCitation":"(Smith et al., 2013)","previouslyFormattedCitation":"(Smith et al., 2013)"},"properties":{"noteIndex":0},"schema":"https://github.com/citation-style-language/schema/raw/master/csl-citation.json"}</w:instrText>
      </w:r>
      <w:r w:rsidRPr="006C35DF">
        <w:rPr>
          <w:rFonts w:cstheme="minorHAnsi"/>
          <w:bCs/>
        </w:rPr>
        <w:fldChar w:fldCharType="separate"/>
      </w:r>
      <w:r w:rsidRPr="006C35DF">
        <w:rPr>
          <w:rFonts w:cstheme="minorHAnsi"/>
          <w:bCs/>
          <w:noProof/>
        </w:rPr>
        <w:t>(Smith et al., 2013)</w:t>
      </w:r>
      <w:r w:rsidRPr="006C35DF">
        <w:rPr>
          <w:rFonts w:cstheme="minorHAnsi"/>
          <w:bCs/>
        </w:rPr>
        <w:fldChar w:fldCharType="end"/>
      </w:r>
      <w:r w:rsidRPr="006C35DF">
        <w:rPr>
          <w:rFonts w:cstheme="minorHAnsi"/>
          <w:bCs/>
          <w:i/>
          <w:iCs/>
        </w:rPr>
        <w:t>.</w:t>
      </w:r>
    </w:p>
    <w:p w14:paraId="73136983" w14:textId="3213D027" w:rsidR="003C6750" w:rsidRPr="006C35DF" w:rsidRDefault="00660662" w:rsidP="00606B88">
      <w:pPr>
        <w:jc w:val="both"/>
        <w:rPr>
          <w:rFonts w:cstheme="minorHAnsi"/>
          <w:bCs/>
          <w:lang w:val="en-US"/>
        </w:rPr>
      </w:pPr>
      <w:r w:rsidRPr="006C35DF">
        <w:rPr>
          <w:rFonts w:cstheme="minorHAnsi"/>
          <w:bCs/>
        </w:rPr>
        <w:t>As a consequence,</w:t>
      </w:r>
      <w:r w:rsidRPr="006C35DF">
        <w:rPr>
          <w:rFonts w:cstheme="minorHAnsi"/>
          <w:bCs/>
          <w:lang w:val="en-US"/>
        </w:rPr>
        <w:t xml:space="preserve"> patients are often anxious, tearful and had psychological repercussions of surgery</w:t>
      </w:r>
      <w:r w:rsidRPr="006C35DF">
        <w:rPr>
          <w:rFonts w:cstheme="minorHAnsi"/>
          <w:bCs/>
        </w:rPr>
        <w:t xml:space="preserve">. </w:t>
      </w:r>
      <w:r w:rsidRPr="006C35DF">
        <w:rPr>
          <w:rFonts w:cstheme="minorHAnsi"/>
          <w:bCs/>
          <w:lang w:val="en-US"/>
        </w:rPr>
        <w:t>These symptoms were often compounded by the lack of informed consent, which was given by only 30% of patients, most of whom were not specifically warned about potential nerve injury</w:t>
      </w:r>
      <w:r w:rsidR="00606B88">
        <w:rPr>
          <w:rFonts w:cstheme="minorHAnsi"/>
          <w:bCs/>
          <w:lang w:val="en-US"/>
        </w:rPr>
        <w:t xml:space="preserve"> </w:t>
      </w:r>
      <w:r w:rsidR="00606B88" w:rsidRPr="006C35DF">
        <w:rPr>
          <w:rFonts w:cstheme="minorHAnsi"/>
          <w:bCs/>
        </w:rPr>
        <w:fldChar w:fldCharType="begin" w:fldLock="1"/>
      </w:r>
      <w:r w:rsidR="00606B88" w:rsidRPr="006C35DF">
        <w:rPr>
          <w:rFonts w:cstheme="minorHAnsi"/>
          <w:bCs/>
        </w:rPr>
        <w:instrText>ADDIN CSL_CITATION {"citationItems":[{"id":"ITEM-1","itemData":{"DOI":"10.11607/jop.1056","ISBN":"1064-6655 (Print)\\r1064-6655 (Linking)","ISSN":"1064-6655","PMID":"24171179","abstract":"AIMS: To explore the impact of trigeminal nerve injuries on quality of life, including the effect of pain on psychological and affective function.\\n\\nMETHODS: An observational, cross-sectional survey design was employed. Fifty-six patients with inferior alveolar nerve injury (IANI) and 33 patients with lingual nerve injury (LNI) completed standardized self-report measures of pain intensity, pain catastrophizing, self-efficacy to cope with pain, and mood, in addition to generic and oral health-related quality of life (HRQoL) indicators. The impact of pain severity on these aspects of psychosocial function was examined. Summary statistics were calculated for all measures and compared with norms or values of other relevant studies, when available, using t tests. The impact of pain severity on these aspects of psychosocial function was examined using analysis of variance and hierarchical multivariate regression models.\\n\\nRESULTS: The majority of patients reported pain associated with their nerve injury (86%). Nerve injury had a significant impact on all investigated domains, and this was closely linked with reported pain levels. Patients with severe pain showed particularly elevated levels of depression and pain catastrophizing, as well as substantially reduced HRQoL and coping efficacy levels. Pain intensity level was a significant predictor in all models except anxiety, uniquely contributing between 17% and 26% of variance to the prediction of pain catastrophizing, depression, coping efficacy, and generic and oral HRQoL.\\n\\nCONCLUSION: Traumatic injury to the trigeminal nerve is associated with a substantial patient burden, particularly in patients who experience severe neuropathic pain as part of their condition. These findings highlight the need to identify, develop, and evaluate more effective treatments for neuropathic pain in trigeminal nerve injury that will not only provide clinically meaningful reductions in pain but also improve patients' quality of life.","author":[{"dropping-particle":"","family":"Smith","given":"Jared G.","non-dropping-particle":"","parse-names":false,"suffix":""},{"dropping-particle":"","family":"Elias","given":"Leigh-Ann","non-dropping-particle":"","parse-names":false,"suffix":""},{"dropping-particle":"","family":"Yilmaz","given":"Zehra","non-dropping-particle":"","parse-names":false,"suffix":""},{"dropping-particle":"","family":"Barker","given":"Sarah","non-dropping-particle":"","parse-names":false,"suffix":""},{"dropping-particle":"","family":"Shah","given":"Kunal","non-dropping-particle":"","parse-names":false,"suffix":""},{"dropping-particle":"","family":"Shah","given":"Sajni","non-dropping-particle":"","parse-names":false,"suffix":""},{"dropping-particle":"","family":"Renton","given":"Tara","non-dropping-particle":"","parse-names":false,"suffix":""}],"container-title":"Journal of orofacial pain","id":"ITEM-1","issue":"4","issued":{"date-parts":[["2013"]]},"page":"293-303","title":"The psychosocial and affective burden of posttraumatic neuropathy following injuries to the trigeminal nerve.","type":"article-journal","volume":"27"},"uris":["http://www.mendeley.com/documents/?uuid=ac4cd219-98ee-403c-8119-44829e6361f7"]}],"mendeley":{"formattedCitation":"(Smith et al., 2013)","plainTextFormattedCitation":"(Smith et al., 2013)","previouslyFormattedCitation":"(Smith et al., 2013)"},"properties":{"noteIndex":0},"schema":"https://github.com/citation-style-language/schema/raw/master/csl-citation.json"}</w:instrText>
      </w:r>
      <w:r w:rsidR="00606B88" w:rsidRPr="006C35DF">
        <w:rPr>
          <w:rFonts w:cstheme="minorHAnsi"/>
          <w:bCs/>
        </w:rPr>
        <w:fldChar w:fldCharType="separate"/>
      </w:r>
      <w:r w:rsidR="00606B88" w:rsidRPr="006C35DF">
        <w:rPr>
          <w:rFonts w:cstheme="minorHAnsi"/>
          <w:bCs/>
          <w:noProof/>
        </w:rPr>
        <w:t>(Smith et al., 2013)</w:t>
      </w:r>
      <w:r w:rsidR="00606B88" w:rsidRPr="006C35DF">
        <w:rPr>
          <w:rFonts w:cstheme="minorHAnsi"/>
          <w:bCs/>
        </w:rPr>
        <w:fldChar w:fldCharType="end"/>
      </w:r>
      <w:r w:rsidRPr="006C35DF">
        <w:rPr>
          <w:rFonts w:cstheme="minorHAnsi"/>
          <w:bCs/>
          <w:lang w:val="en-US"/>
        </w:rPr>
        <w:t>.</w:t>
      </w:r>
      <w:r w:rsidR="00606B88">
        <w:rPr>
          <w:rFonts w:cstheme="minorHAnsi"/>
          <w:bCs/>
          <w:lang w:val="en-US"/>
        </w:rPr>
        <w:t xml:space="preserve"> </w:t>
      </w:r>
      <w:r w:rsidR="003C6750" w:rsidRPr="006C35DF">
        <w:rPr>
          <w:rFonts w:cstheme="minorHAnsi"/>
          <w:bCs/>
        </w:rPr>
        <w:t xml:space="preserve">The presence of anxiety or depression has been suggested to negatively affect treatment outcomes in other pain conditions. In striving for better outcomes, it is therefore advisable to also pay attention to the psychological impact. Psychological assessment requires the use of validated questionnaires exploring anxiety, depression, post-traumatic stress disorder, prior abuse and neglect, sleep quality, catastrophising and somatisation. </w:t>
      </w:r>
    </w:p>
    <w:p w14:paraId="4AC3B2B6" w14:textId="77777777" w:rsidR="003C6750" w:rsidRDefault="003C6750" w:rsidP="003C6750">
      <w:pPr>
        <w:pStyle w:val="Kop2"/>
        <w:rPr>
          <w:lang w:val="en-US"/>
        </w:rPr>
      </w:pPr>
      <w:r>
        <w:rPr>
          <w:lang w:val="en-US"/>
        </w:rPr>
        <w:t>Radiological investigations</w:t>
      </w:r>
    </w:p>
    <w:p w14:paraId="50ABCE27" w14:textId="08A4D352" w:rsidR="003C6750" w:rsidRPr="006C35DF" w:rsidRDefault="003C6750" w:rsidP="003C6750">
      <w:pPr>
        <w:jc w:val="both"/>
        <w:rPr>
          <w:rFonts w:cstheme="minorHAnsi"/>
          <w:bCs/>
        </w:rPr>
      </w:pPr>
      <w:r w:rsidRPr="006C35DF">
        <w:rPr>
          <w:rFonts w:cstheme="minorHAnsi"/>
          <w:bCs/>
        </w:rPr>
        <w:t xml:space="preserve">Routine </w:t>
      </w:r>
      <w:r>
        <w:rPr>
          <w:rFonts w:cstheme="minorHAnsi"/>
          <w:bCs/>
        </w:rPr>
        <w:t>panoramic</w:t>
      </w:r>
      <w:r w:rsidRPr="006C35DF">
        <w:rPr>
          <w:rFonts w:cstheme="minorHAnsi"/>
          <w:bCs/>
        </w:rPr>
        <w:t xml:space="preserve"> radiography is necessary in assessing if after dental extractions </w:t>
      </w:r>
      <w:r w:rsidR="00F24F19">
        <w:rPr>
          <w:rFonts w:cstheme="minorHAnsi"/>
          <w:bCs/>
        </w:rPr>
        <w:t>the</w:t>
      </w:r>
      <w:r w:rsidRPr="006C35DF">
        <w:rPr>
          <w:rFonts w:cstheme="minorHAnsi"/>
          <w:bCs/>
        </w:rPr>
        <w:t xml:space="preserve"> roots remain adjacent to the inferior alveolar nerve and these require removal providing an opportunity to explore and repair the nerve if necessary. Cone beam CT scanning will be </w:t>
      </w:r>
      <w:r>
        <w:rPr>
          <w:rFonts w:cstheme="minorHAnsi"/>
          <w:bCs/>
        </w:rPr>
        <w:t>required</w:t>
      </w:r>
      <w:r w:rsidRPr="006C35DF">
        <w:rPr>
          <w:rFonts w:cstheme="minorHAnsi"/>
          <w:bCs/>
        </w:rPr>
        <w:t xml:space="preserve"> to further assess the relationship between the roots and the </w:t>
      </w:r>
      <w:r>
        <w:rPr>
          <w:rFonts w:cstheme="minorHAnsi"/>
          <w:bCs/>
        </w:rPr>
        <w:t>mandibular</w:t>
      </w:r>
      <w:r w:rsidRPr="006C35DF">
        <w:rPr>
          <w:rFonts w:cstheme="minorHAnsi"/>
          <w:bCs/>
        </w:rPr>
        <w:t xml:space="preserve"> canal which contains the </w:t>
      </w:r>
      <w:r>
        <w:rPr>
          <w:rFonts w:cstheme="minorHAnsi"/>
          <w:bCs/>
        </w:rPr>
        <w:t xml:space="preserve">inferior alveolar </w:t>
      </w:r>
      <w:r w:rsidRPr="006C35DF">
        <w:rPr>
          <w:rFonts w:cstheme="minorHAnsi"/>
          <w:bCs/>
        </w:rPr>
        <w:t xml:space="preserve">nerve </w:t>
      </w:r>
      <w:r w:rsidRPr="006C35DF">
        <w:rPr>
          <w:rFonts w:cstheme="minorHAnsi"/>
          <w:bCs/>
        </w:rPr>
        <w:fldChar w:fldCharType="begin" w:fldLock="1"/>
      </w:r>
      <w:r w:rsidRPr="006C35DF">
        <w:rPr>
          <w:rFonts w:cstheme="minorHAnsi"/>
          <w:bCs/>
        </w:rPr>
        <w:instrText>ADDIN CSL_CITATION {"citationItems":[{"id":"ITEM-1","itemData":{"DOI":"10.3174/ajnr.A5438","ISSN":"[\"1936-959X\", \"0195-6108\"]","PMID":"29146720","abstract":"Background and purpose: Clinical neurosensory testing is an imperfect reference standard to evaluate molar tooth extraction related peripheral trigeminal neuropathy. The purpose was to evaluate the diagnostic accuracy of MR neurography in this domain and correlation with neurosensory testing and surgery. MATERIALS AND METHODS: In this retrospective study, nerve caliber, T2 signal intensity ratio, and contrast-to-noise ratios were recorded by 2 observers using MR neurography for bilateral branches of the peripheral trigeminal nerve, the inferior alveolar and lingual nerves. Patient demographics and correlation of the MR neurography findings with the Sunderland classification of nerve injury and intraoperative findings of surgical patients were obtained. RESULTS: Among 42 patients, the mean SD age for case and control patients were 35.8 ±; 10.2 years and 43.2 = 11.5 years, respectively, with male-to-female ratios of 1:1.4 and 1:5, respectively. Case subjects (peripheral trigeminal neuropathy or injury) had significantly larger differences in nerve thickness, T2 signal intensity ratio, and contrast-to-noise ratios than control patients for the inferior alveolar nerve and lingual nerve (P = .01 and .0001, .012 and .005, and .01 and .01, respectively). Receiver operating characteristic analysis showed a significant association among differences in nerve thickness, T2 signal intensity ratio, and contrast-to-noise ratios and nerve injury (area under the curve, 0.83-0.84 for the inferior alveolar nerve and 0.77-0.78 for the lingual nerve). Interobserver agreement was good for the inferior alveolar nerve (intraclass correlation coefficient, 0.70-0.79) and good to excellent for the lingual nerve (intraclass correlation coefficient, 0.75-0.85). MR neurography correlations with respect to clinical neurosensory testing and surgical classifications were moderate to good. Pearson correlation coefficients of 0.68 and 0.81 and = of 0.60 and 0.77 were observed for differences in nerve thickness. CONCLUSIONS: MR neurography can be reliably used for the diagnosis of injuries to the peripheral trigeminal nerve related to molar tooth extractions, with good to excellent correlation of imaging with clinical findings and surgical results.","author":[{"dropping-particle":"","family":"Dessouky","given":"R.","non-dropping-particle":"","parse-names":false,"suffix":""},{"dropping-particle":"","family":"Xi","given":"Y.","non-dropping-particle":"","parse-names":false,"suffix":""},{"dropping-particle":"","family":"Zuniga","given":"J.","non-dropping-particle":"","parse-names":false,"suffix":""},{"dropping-particle":"","family":"Chhabra","given":"A.","non-dropping-particle":"","parse-names":false,"suffix":""}],"container-title":"American journal of neuroradiology","id":"ITEM-1","issue":"1","issued":{"date-parts":[["2018"]]},"language":"eng","page":"162-169","publisher":"AMER SOC NEURORADIOLOGY","publisher-place":"A. Chhabra, Departments of Radiology and Oral, Maxillofacial Surgery, University of Texas Southwestern Medical Center, Dallas, TX, United States, United States","title":"Role of MR Neurography for the Diagnosis of Peripheral Trigeminal Nerve Injuries in Patients with Prior Molar Tooth Extraction.","type":"article-journal","volume":"39"},"uris":["http://www.mendeley.com/documents/?uuid=93995ee6-8a2b-493f-86d4-c541dc550aa0"]}],"mendeley":{"formattedCitation":"(Dessouky et al., 2018)","plainTextFormattedCitation":"(Dessouky et al., 2018)","previouslyFormattedCitation":"(Dessouky et al., 2018)"},"properties":{"noteIndex":0},"schema":"https://github.com/citation-style-language/schema/raw/master/csl-citation.json"}</w:instrText>
      </w:r>
      <w:r w:rsidRPr="006C35DF">
        <w:rPr>
          <w:rFonts w:cstheme="minorHAnsi"/>
          <w:bCs/>
        </w:rPr>
        <w:fldChar w:fldCharType="separate"/>
      </w:r>
      <w:r w:rsidRPr="006C35DF">
        <w:rPr>
          <w:rFonts w:cstheme="minorHAnsi"/>
          <w:bCs/>
          <w:noProof/>
        </w:rPr>
        <w:t>(Dessouky et al., 2018)</w:t>
      </w:r>
      <w:r w:rsidRPr="006C35DF">
        <w:rPr>
          <w:rFonts w:cstheme="minorHAnsi"/>
          <w:bCs/>
        </w:rPr>
        <w:fldChar w:fldCharType="end"/>
      </w:r>
      <w:r w:rsidRPr="006C35DF">
        <w:rPr>
          <w:rFonts w:cstheme="minorHAnsi"/>
          <w:bCs/>
        </w:rPr>
        <w:t xml:space="preserve">. Neither medical CTs or MRIs are of great assistance in assessing nerve injuries. However, there are some emerging imaging technologies such as magnetic resonance neurography or multimodal assessments can aid in further diagnostics </w:t>
      </w:r>
      <w:r w:rsidRPr="006C35DF">
        <w:rPr>
          <w:rFonts w:cstheme="minorHAnsi"/>
          <w:bCs/>
        </w:rPr>
        <w:fldChar w:fldCharType="begin" w:fldLock="1"/>
      </w:r>
      <w:r w:rsidR="002D14D0">
        <w:rPr>
          <w:rFonts w:cstheme="minorHAnsi"/>
          <w:bCs/>
        </w:rPr>
        <w:instrText>ADDIN CSL_CITATION {"citationItems":[{"id":"ITEM-1","itemData":{"DOI":"10.1259/dmfr.20200103","ISSN":"0250-832X","PMID":"32401614","author":[{"dropping-particle":"","family":"Cruyssen","given":"Frederic","non-dropping-particle":"Van der","parse-names":false,"suffix":""},{"dropping-particle":"","family":"Peeters","given":"Frederik","non-dropping-particle":"","parse-names":false,"suffix":""},{"dropping-particle":"","family":"Croonenborghs","given":"Tomas-Marijn","non-dropping-particle":"","parse-names":false,"suffix":""},{"dropping-particle":"","family":"Fransen","given":"Jasper","non-dropping-particle":"","parse-names":false,"suffix":""},{"dropping-particle":"","family":"Renton","given":"Tara","non-dropping-particle":"","parse-names":false,"suffix":""},{"dropping-particle":"","family":"Politis","given":"Constantinus","non-dropping-particle":"","parse-names":false,"suffix":""},{"dropping-particle":"","family":"Casselman","given":"Jan","non-dropping-particle":"","parse-names":false,"suffix":""},{"dropping-particle":"","family":"Jacobs","given":"Reinhilde","non-dropping-particle":"","parse-names":false,"suffix":""}],"container-title":"Dentomaxillofacial Radiology","id":"ITEM-1","issue":"March","issued":{"date-parts":[["2020","5","27"]]},"page":"20200103","title":"A systematic review on diagnostic test accuracy of magnetic resonance neurography versus clinical neurosensory assessment for post-traumatic trigeminal neuropathy in patients reporting neurosensory disturbance","type":"article-journal"},"uris":["http://www.mendeley.com/documents/?uuid=2b118861-ac34-4c14-b292-ed4052d0934c"]},{"id":"ITEM-2","itemData":{"DOI":"10.2214/ajr.10.6012","ISSN":"0361-803X","PMID":"21862800","abstract":"OBJECTIVE. MR neurography (MRN) has increasingly been used in clinical practice for the evaluation of peripheral nerve disease. This article reviews the historic perspective of MRN, the current imaging trends of this modality, and the future directions and applications that have shown potential for improved imaging and diagnostic capabilities. CONCLUSION. MRN has come a long way in the past 2 decades. Excellent depiction of 3D nerve anatomy and pathology is currently possible. Further technical developments in diffusion-based nerve and muscle imaging, whole-body MRN, and nerve-specific MR contrast agents will likely play a major role in advancing this novel field and understanding peripheral neuromuscular diseases in the years to come. © American Roentgen Ray Society.","author":[{"dropping-particle":"","family":"Chhabra","given":"Avneesh","non-dropping-particle":"","parse-names":false,"suffix":""},{"dropping-particle":"","family":"Andreisek","given":"Gustav","non-dropping-particle":"","parse-names":false,"suffix":""},{"dropping-particle":"","family":"Soldatos","given":"Theodoros","non-dropping-particle":"","parse-names":false,"suffix":""},{"dropping-particle":"","family":"Wang","given":"Kenneth C.","non-dropping-particle":"","parse-names":false,"suffix":""},{"dropping-particle":"","family":"Flammang","given":"Aaron J.","non-dropping-particle":"","parse-names":false,"suffix":""},{"dropping-particle":"","family":"Belzberg","given":"Allan J.","non-dropping-particle":"","parse-names":false,"suffix":""},{"dropping-particle":"","family":"Carrino","given":"John A.","non-dropping-particle":"","parse-names":false,"suffix":""}],"container-title":"American Journal of Roentgenology","id":"ITEM-2","issue":"3","issued":{"date-parts":[["2011"]]},"page":"583-591","title":"MR Neurography: Past, Present, and Future","type":"article-journal","volume":"197"},"uris":["http://www.mendeley.com/documents/?uuid=9d7f9b1d-4953-4446-8aef-f37e69d66f17"]}],"mendeley":{"formattedCitation":"(Chhabra et al., 2011; Frederic Van der Cruyssen et al., 2020)","plainTextFormattedCitation":"(Chhabra et al., 2011; Frederic Van der Cruyssen et al., 2020)","previouslyFormattedCitation":"(Chhabra et al., 2011; Frederic Van der Cruyssen et al., 2020)"},"properties":{"noteIndex":0},"schema":"https://github.com/citation-style-language/schema/raw/master/csl-citation.json"}</w:instrText>
      </w:r>
      <w:r w:rsidRPr="006C35DF">
        <w:rPr>
          <w:rFonts w:cstheme="minorHAnsi"/>
          <w:bCs/>
        </w:rPr>
        <w:fldChar w:fldCharType="separate"/>
      </w:r>
      <w:r w:rsidR="00A3201B" w:rsidRPr="00A3201B">
        <w:rPr>
          <w:rFonts w:cstheme="minorHAnsi"/>
          <w:bCs/>
          <w:noProof/>
        </w:rPr>
        <w:t>(Chhabra et al., 2011; Frederic Van der Cruyssen et al., 2020)</w:t>
      </w:r>
      <w:r w:rsidRPr="006C35DF">
        <w:rPr>
          <w:rFonts w:cstheme="minorHAnsi"/>
          <w:bCs/>
        </w:rPr>
        <w:fldChar w:fldCharType="end"/>
      </w:r>
      <w:r w:rsidRPr="006C35DF">
        <w:rPr>
          <w:rFonts w:cstheme="minorHAnsi"/>
          <w:bCs/>
        </w:rPr>
        <w:t xml:space="preserve">. Radiography after </w:t>
      </w:r>
      <w:r>
        <w:rPr>
          <w:rFonts w:cstheme="minorHAnsi"/>
          <w:bCs/>
        </w:rPr>
        <w:t>l</w:t>
      </w:r>
      <w:r w:rsidRPr="006C35DF">
        <w:rPr>
          <w:rFonts w:cstheme="minorHAnsi"/>
          <w:bCs/>
        </w:rPr>
        <w:t>ocal anaesthetic nerve injuries is of no benefit and both endodontic and implant treatments should be completed with a post-surgical radiograph thus no further radiation is required.</w:t>
      </w:r>
    </w:p>
    <w:p w14:paraId="1C4523EE" w14:textId="77777777" w:rsidR="002A0DBF" w:rsidRPr="002A0DBF" w:rsidRDefault="002A0DBF" w:rsidP="002A0DBF">
      <w:pPr>
        <w:pStyle w:val="Kop1"/>
      </w:pPr>
      <w:r w:rsidRPr="002A0DBF">
        <w:lastRenderedPageBreak/>
        <w:t>Therapy</w:t>
      </w:r>
    </w:p>
    <w:p w14:paraId="238027AC" w14:textId="6E2E553E" w:rsidR="003C6750" w:rsidRPr="006C35DF" w:rsidRDefault="00E3382F" w:rsidP="003C6750">
      <w:pPr>
        <w:jc w:val="both"/>
        <w:rPr>
          <w:rFonts w:cstheme="minorHAnsi"/>
          <w:bCs/>
        </w:rPr>
      </w:pPr>
      <w:r w:rsidRPr="006C35DF">
        <w:rPr>
          <w:rFonts w:cstheme="minorHAnsi"/>
          <w:bCs/>
        </w:rPr>
        <w:t>Evidence base remains limited for managing dental related nerve injuries and related PTNP, many are permanent and there is no ‘magic bullet’ to fix them</w:t>
      </w:r>
      <w:r>
        <w:rPr>
          <w:rFonts w:cstheme="minorHAnsi"/>
          <w:bCs/>
        </w:rPr>
        <w:t xml:space="preserve"> </w:t>
      </w:r>
      <w:r>
        <w:rPr>
          <w:rFonts w:cstheme="minorHAnsi"/>
          <w:bCs/>
        </w:rPr>
        <w:fldChar w:fldCharType="begin" w:fldLock="1"/>
      </w:r>
      <w:r>
        <w:rPr>
          <w:rFonts w:cstheme="minorHAnsi"/>
          <w:bCs/>
        </w:rPr>
        <w:instrText>ADDIN CSL_CITATION {"citationItems":[{"id":"ITEM-1","itemData":{"DOI":"10.1002/14651858.CD005293.pub2","ISSN":"1469-493X (Electronic)","PMID":"24740534","abstract":"BACKGROUND: Iatrogenic injury of the inferior alveolar or lingual nerve or both is a known complication of oral and maxillofacial surgery procedures. Injury to these two branches of the mandibular division of the trigeminal nerve may result in altered sensation associated with the ipsilateral lower lip or tongue or both and may include anaesthesia, paraesthesia, dysaesthesia, hyperalgesia, allodynia, hypoaesthesia and hyperaesthesia. Injury to the lingual nerve may also affect taste perception on the affected side of the tongue. The vast majority (approximately 90%) of these injuries are temporary in nature and resolve within eight weeks. However, if the injury persists beyond six months it is deemed to be permanent. Surgical, medical and psychological techniques have been used as a treatment for such injuries, though at present there is no consensus on the preferred intervention, or the timing of the intervention. OBJECTIVES: To evaluate the effects of different interventions and timings of interventions to treat iatrogenic injury of the inferior alveolar or lingual nerves. SEARCH METHODS: We searched the following electronic databases: the Cochrane Oral Health Group's Trial Register (to 9 October 2013), the Cochrane Central Register of Controlled Trials (CENTRAL) (The Cochrane Library 2013, Issue 9), MEDLINE via OVID (1946 to 9 October 2013) and EMBASE via OVID (1980 to 9 October 2013). No language restrictions were placed on the language or date of publication when searching the electronic databases. SELECTION CRITERIA: Randomised controlled trials (RCTs) involving interventions to treat patients with neurosensory defect of the inferior alveolar or lingual nerve or both as a sequela of iatrogenic injury. DATA COLLECTION AND ANALYSIS: We used the standard methodological procedures expected by The Cochrane Collaboration. We performed data extraction and assessment of the risk of bias independently and in duplicate. We contacted authors to clarify the inclusion criteria of the studies. MAIN RESULTS: Two studies assessed as at high risk of bias, reporting data from 26 analysed participants were included in this review. The age range of participants was from 17 to 55 years. Both trials investigated the effectiveness of low-level laser treatment compared to placebo laser therapy on inferior alveolar sensory deficit as a result of iatrogenic injury.Patient-reported altered sensation was partially reported in one study and fully reported in another. Followin…","author":[{"dropping-particle":"","family":"Coulthard","given":"Paul","non-dropping-particle":"","parse-names":false,"suffix":""},{"dropping-particle":"","family":"Kushnerev","given":"Evgeny","non-dropping-particle":"","parse-names":false,"suffix":""},{"dropping-particle":"","family":"Yates","given":"Julian M","non-dropping-particle":"","parse-names":false,"suffix":""},{"dropping-particle":"","family":"Walsh","given":"Tanya","non-dropping-particle":"","parse-names":false,"suffix":""},{"dropping-particle":"","family":"Patel","given":"Neil","non-dropping-particle":"","parse-names":false,"suffix":""},{"dropping-particle":"","family":"Bailey","given":"Edmund","non-dropping-particle":"","parse-names":false,"suffix":""},{"dropping-particle":"","family":"Renton","given":"Tara F","non-dropping-particle":"","parse-names":false,"suffix":""}],"container-title":"The Cochrane database of systematic reviews","id":"ITEM-1","issue":"4","issued":{"date-parts":[["2014","4"]]},"language":"eng","page":"CD005293","publisher-place":"England","title":"Interventions for iatrogenic inferior alveolar and lingual nerve injury","type":"article-journal"},"uris":["http://www.mendeley.com/documents/?uuid=9a43d3b1-ad12-48e7-b793-54e8df3d15cb"]}],"mendeley":{"formattedCitation":"(Coulthard et al., 2014)","plainTextFormattedCitation":"(Coulthard et al., 2014)","previouslyFormattedCitation":"(Coulthard et al., 2014)"},"properties":{"noteIndex":0},"schema":"https://github.com/citation-style-language/schema/raw/master/csl-citation.json"}</w:instrText>
      </w:r>
      <w:r>
        <w:rPr>
          <w:rFonts w:cstheme="minorHAnsi"/>
          <w:bCs/>
        </w:rPr>
        <w:fldChar w:fldCharType="separate"/>
      </w:r>
      <w:r w:rsidRPr="00337801">
        <w:rPr>
          <w:rFonts w:cstheme="minorHAnsi"/>
          <w:bCs/>
          <w:noProof/>
        </w:rPr>
        <w:t>(Coulthard et al., 2014)</w:t>
      </w:r>
      <w:r>
        <w:rPr>
          <w:rFonts w:cstheme="minorHAnsi"/>
          <w:bCs/>
        </w:rPr>
        <w:fldChar w:fldCharType="end"/>
      </w:r>
      <w:r w:rsidRPr="006C35DF">
        <w:rPr>
          <w:rFonts w:cstheme="minorHAnsi"/>
          <w:bCs/>
        </w:rPr>
        <w:t xml:space="preserve">. If the patient reports numbness, altered sensation and or pain, reassure them, acknowledge their complaints without minimising and arrange review. The singular consensus is that prevention of these nerve injuries is possible and optimal. </w:t>
      </w:r>
      <w:r w:rsidR="003C6750" w:rsidRPr="006C35DF">
        <w:rPr>
          <w:rFonts w:cstheme="minorHAnsi"/>
          <w:bCs/>
        </w:rPr>
        <w:t xml:space="preserve">The patient with the nerve injury must be treated, </w:t>
      </w:r>
      <w:r w:rsidR="00F0489C">
        <w:rPr>
          <w:rFonts w:cstheme="minorHAnsi"/>
          <w:bCs/>
        </w:rPr>
        <w:t>not</w:t>
      </w:r>
      <w:r w:rsidR="003C6750" w:rsidRPr="006C35DF">
        <w:rPr>
          <w:rFonts w:cstheme="minorHAnsi"/>
          <w:bCs/>
        </w:rPr>
        <w:t xml:space="preserve"> the nerve injury in isolation. The neuropathy with associated functional and psychological impact will be the driving force behind the patient seeking treatment </w:t>
      </w:r>
      <w:r w:rsidR="003C6750" w:rsidRPr="006C35DF">
        <w:rPr>
          <w:rFonts w:cstheme="minorHAnsi"/>
          <w:bCs/>
        </w:rPr>
        <w:fldChar w:fldCharType="begin" w:fldLock="1"/>
      </w:r>
      <w:r w:rsidR="003C6750" w:rsidRPr="006C35DF">
        <w:rPr>
          <w:rFonts w:cstheme="minorHAnsi"/>
          <w:bCs/>
        </w:rPr>
        <w:instrText>ADDIN CSL_CITATION {"citationItems":[{"id":"ITEM-1","itemData":{"ISBN":"4420329912","ISSN":"1752-2471","abstract":"Abstract The trigeminal nerve constitutes the largest sensory cortex representation in the brain compared with other sensory nerves. This is likely due to the fact that the trigeminal nerve underpins our very existence, as it sensorially protects, our five senses including the organs that provide sight, smell, taste, hearing, speech and meninges protecting our brain. Thus, when trigeminal nerve injuries occur, which in the main are preventable and painful, the majority of patients experience mixed symptoms including altered sensation, numbness, and ongoing or elicited neuropathic pain. These neuropathic features cause significant impact on the patients? ability to function, for example cold allodynia prevents the patient enjoying cold foods and drinks and undertaking out-door activities or mechanical allodynia frequently interferes with eating, speaking, kissing and sleep. The resultant chronic symptoms and functional impedance results in significant psychological morbidity. Prevention of nerve injuries related to local anaesthesia, endodontics, implants and third molar surgery is imperative as there is no magic bullet to repair these sensory nerve injuries with their related neuropathic pain. Some causes have higher levels of resolution (third molar surgery and local anaesthesia) some lower levels of resolution (implant surgery and endodontics) and many patient factors will dictate the prevalence of chronic neuropathic pain. The patient must have appropriate consent and their expectations managed with understanding the potential benefits and risks for their chosen interventions. The authors have aimed to provide an up to date evidence base for diagnosis and management of trigeminal nerve injuries.","author":[{"dropping-particle":"","family":"Renton","given":"Tara","non-dropping-particle":"","parse-names":false,"suffix":""},{"dropping-particle":"","family":"Cruyssen","given":"Frederic","non-dropping-particle":"Van der","parse-names":false,"suffix":""}],"container-title":"Oral Surgery","id":"ITEM-1","issue":"n/a","issued":{"date-parts":[["2019","12","19"]]},"page":"ors.12465","title":"Diagnosis, pathophysiology, management and future issues of trigeminal surgical nerve injuries","type":"article-journal","volume":"n/a"},"uris":["http://www.mendeley.com/documents/?uuid=b4da5bbc-cbdf-4409-9cf3-c5faba240d90"]}],"mendeley":{"formattedCitation":"(Tara Renton &amp; Van der Cruyssen, 2019)","plainTextFormattedCitation":"(Tara Renton &amp; Van der Cruyssen, 2019)","previouslyFormattedCitation":"(Tara Renton &amp; Van der Cruyssen, 2019)"},"properties":{"noteIndex":0},"schema":"https://github.com/citation-style-language/schema/raw/master/csl-citation.json"}</w:instrText>
      </w:r>
      <w:r w:rsidR="003C6750" w:rsidRPr="006C35DF">
        <w:rPr>
          <w:rFonts w:cstheme="minorHAnsi"/>
          <w:bCs/>
        </w:rPr>
        <w:fldChar w:fldCharType="separate"/>
      </w:r>
      <w:r w:rsidR="003C6750" w:rsidRPr="006C35DF">
        <w:rPr>
          <w:rFonts w:cstheme="minorHAnsi"/>
          <w:bCs/>
          <w:noProof/>
        </w:rPr>
        <w:t>(Tara Renton &amp; Van der Cruyssen, 2019)</w:t>
      </w:r>
      <w:r w:rsidR="003C6750" w:rsidRPr="006C35DF">
        <w:rPr>
          <w:rFonts w:cstheme="minorHAnsi"/>
          <w:bCs/>
        </w:rPr>
        <w:fldChar w:fldCharType="end"/>
      </w:r>
      <w:r w:rsidR="003C6750" w:rsidRPr="006C35DF">
        <w:rPr>
          <w:rFonts w:cstheme="minorHAnsi"/>
          <w:bCs/>
        </w:rPr>
        <w:t xml:space="preserve">. These factors must be assessed and the potential outcomes, good or bad, be discussed and agreed with the patient. Decision on managing the patient with a nerve injury is based upon the holistic assessment of the patient. The clinician must assess the degree and impact of the nerve injury and the type of patient. Some patients may present with large painful neuropathies but are happy to continue as is with minimal life impact, whereas others may present with small areas of neuropathy with no pain but signiﬁcant related functional and psychological impact. As with all decisions in life there are beneﬁts and risks with any intervention. No reparative surgery or chronic pain medication is devoid of side effects or potential risks. The patient has to be made aware of the diagnosis, prognosis and possible interventions with associated risks and beneﬁts. This is a long conversation and may need to take place over several consultations. </w:t>
      </w:r>
    </w:p>
    <w:p w14:paraId="140EFE45" w14:textId="77777777" w:rsidR="00B32942" w:rsidRDefault="003C6750" w:rsidP="00B32942">
      <w:pPr>
        <w:jc w:val="both"/>
        <w:rPr>
          <w:rFonts w:cstheme="minorHAnsi"/>
          <w:bCs/>
        </w:rPr>
      </w:pPr>
      <w:r w:rsidRPr="006C35DF">
        <w:rPr>
          <w:rFonts w:cstheme="minorHAnsi"/>
          <w:bCs/>
        </w:rPr>
        <w:t xml:space="preserve">Management of PTNP will depend upon the presentation of the patient (pain, functional and psychological implications) duration and cause of the nerve injury </w:t>
      </w:r>
      <w:r w:rsidRPr="006C35DF">
        <w:rPr>
          <w:rFonts w:cstheme="minorHAnsi"/>
          <w:bCs/>
        </w:rPr>
        <w:fldChar w:fldCharType="begin" w:fldLock="1"/>
      </w:r>
      <w:r w:rsidRPr="006C35DF">
        <w:rPr>
          <w:rFonts w:cstheme="minorHAnsi"/>
          <w:bCs/>
        </w:rPr>
        <w:instrText>ADDIN CSL_CITATION {"citationItems":[{"id":"ITEM-1","itemData":{"DOI":"10.1016/j.ijom.2011.11.002","ISBN":"0901-5027","ISSN":"09015027","PMID":"22326447","abstract":"This study describes the management of 216 patients with post-traumatic iatrogenic lingual nerve injuries (LNIs; n = 93) and inferior alveolar nerve injuries (IANI; n = 123). At initial consultation, 6% IANI and 2% LNI patients had undergone significant resolution requiring no further reviews. Reassurance and counselling was adequate management for 51% IANI and 55% LNI patients. Systemic or topical medication was offered as pain relief to 5% of patients. Additional cognitive behaviour therapy (CBT) was offered to 8% of patients. Topical 5% lidocaine patches reduced pain and allodynia in 7% of IANI patients, most often used without any other form of management. A small percentage of IANI patients (4%) received a combination of therapies involving CBT, surgery, medication and 5% lidocaine patches. Exploratory surgery improved symptoms and reduced neuropathic area in 18 LNI and 15 IANI patients resulting in improved quality of life. In conclusion, the authors suggest a more diverse and perhaps holistic strategy for management of patients with iatrogenic trigeminal nerve injuries and recommend pragmatic assessment criteria for measurement of treatment success in these patients. ?? 2011 International Association of Oral and Maxillofacial Surgeonss. Published by Elsevier Ltd. All rights reserved.","author":[{"dropping-particle":"","family":"Renton","given":"T.","non-dropping-particle":"","parse-names":false,"suffix":""},{"dropping-particle":"","family":"Yilmaz","given":"Z.","non-dropping-particle":"","parse-names":false,"suffix":""}],"container-title":"International Journal of Oral and Maxillofacial Surgery","id":"ITEM-1","issue":"5","issued":{"date-parts":[["2012"]]},"page":"629-637","title":"Managing iatrogenic trigeminal nerve injury: A case series and review of the literature","type":"article-journal","volume":"41"},"uris":["http://www.mendeley.com/documents/?uuid=8ecb239c-7a7e-4673-b59d-def09f60c59e"]},{"id":"ITEM-2","itemData":{"DOI":"10.1038/sj.bdj.2013.993","ISSN":"0007-0610","PMID":"24157759","abstract":"Many post-operative complications can be avoided with good patient selection, training and surgical planning. Obtaining explicit patient consent is also an essential component of treatment. The most significant complications from oral surgical interventions are iatrogenic trigeminal nerve injuries, which can result in permanent altered sensation and pain, causing considerable functional and psychological disability. This paper provides some useful suggestions on minimising the risks of these injuries. By understanding the risk factors and modifying the resulting intervention, more of these injuries may be prevented.","author":[{"dropping-particle":"","family":"Renton","given":"T.","non-dropping-particle":"","parse-names":false,"suffix":""}],"container-title":"BDJ","id":"ITEM-2","issue":"8","issued":{"date-parts":[["2013"]]},"page":"393-399","title":"Oral surgery: part 4. Minimising and managing nerve injuries and other complications","type":"article-journal","volume":"215"},"uris":["http://www.mendeley.com/documents/?uuid=651c3216-4c59-4874-8416-7d4a4a2d7f03"]}],"mendeley":{"formattedCitation":"(T. Renton, 2013; T. Renton &amp; Yilmaz, 2012)","plainTextFormattedCitation":"(T. Renton, 2013; T. Renton &amp; Yilmaz, 2012)","previouslyFormattedCitation":"(T. Renton, 2013; T. Renton &amp; Yilmaz, 2012)"},"properties":{"noteIndex":0},"schema":"https://github.com/citation-style-language/schema/raw/master/csl-citation.json"}</w:instrText>
      </w:r>
      <w:r w:rsidRPr="006C35DF">
        <w:rPr>
          <w:rFonts w:cstheme="minorHAnsi"/>
          <w:bCs/>
        </w:rPr>
        <w:fldChar w:fldCharType="separate"/>
      </w:r>
      <w:r w:rsidRPr="006C35DF">
        <w:rPr>
          <w:rFonts w:cstheme="minorHAnsi"/>
          <w:bCs/>
          <w:noProof/>
        </w:rPr>
        <w:t>(T. Renton, 2013; T. Renton &amp; Yilmaz, 2012)</w:t>
      </w:r>
      <w:r w:rsidRPr="006C35DF">
        <w:rPr>
          <w:rFonts w:cstheme="minorHAnsi"/>
          <w:bCs/>
        </w:rPr>
        <w:fldChar w:fldCharType="end"/>
      </w:r>
      <w:r w:rsidRPr="006C35DF">
        <w:rPr>
          <w:rFonts w:cstheme="minorHAnsi"/>
          <w:bCs/>
        </w:rPr>
        <w:t>.</w:t>
      </w:r>
      <w:r w:rsidRPr="006C35DF">
        <w:rPr>
          <w:rFonts w:cstheme="minorHAnsi"/>
          <w:bCs/>
          <w:vertAlign w:val="superscript"/>
        </w:rPr>
        <w:t xml:space="preserve"> </w:t>
      </w:r>
      <w:r w:rsidR="007106BF">
        <w:rPr>
          <w:rFonts w:cstheme="minorHAnsi"/>
          <w:bCs/>
        </w:rPr>
        <w:t>Table 3</w:t>
      </w:r>
      <w:r w:rsidRPr="006C35DF">
        <w:rPr>
          <w:rFonts w:cstheme="minorHAnsi"/>
          <w:bCs/>
        </w:rPr>
        <w:t xml:space="preserve"> summarises the management and timing of intervention for trigeminal nerve injuries based upon the current evidence base.</w:t>
      </w:r>
      <w:r w:rsidRPr="006C35DF">
        <w:rPr>
          <w:rFonts w:cstheme="minorHAnsi"/>
          <w:bCs/>
          <w:vertAlign w:val="superscript"/>
        </w:rPr>
        <w:t xml:space="preserve"> </w:t>
      </w:r>
      <w:r w:rsidR="00B32942">
        <w:rPr>
          <w:rFonts w:cstheme="minorHAnsi"/>
          <w:bCs/>
        </w:rPr>
        <w:t>Urgent care is initiated as soon as possible after presentation.</w:t>
      </w:r>
    </w:p>
    <w:tbl>
      <w:tblPr>
        <w:tblStyle w:val="Tabelraster"/>
        <w:tblW w:w="0" w:type="auto"/>
        <w:tblLook w:val="04A0" w:firstRow="1" w:lastRow="0" w:firstColumn="1" w:lastColumn="0" w:noHBand="0" w:noVBand="1"/>
      </w:tblPr>
      <w:tblGrid>
        <w:gridCol w:w="9062"/>
      </w:tblGrid>
      <w:tr w:rsidR="00B32942" w14:paraId="63B5B178" w14:textId="77777777" w:rsidTr="0009447E">
        <w:tc>
          <w:tcPr>
            <w:tcW w:w="9062" w:type="dxa"/>
          </w:tcPr>
          <w:p w14:paraId="1E3D4947" w14:textId="77777777" w:rsidR="00B32942" w:rsidRPr="006B5483" w:rsidRDefault="00B32942" w:rsidP="0009447E">
            <w:pPr>
              <w:jc w:val="both"/>
              <w:rPr>
                <w:rFonts w:asciiTheme="minorHAnsi" w:hAnsiTheme="minorHAnsi" w:cstheme="minorHAnsi"/>
                <w:szCs w:val="18"/>
              </w:rPr>
            </w:pPr>
            <w:r w:rsidRPr="006B5483">
              <w:rPr>
                <w:rFonts w:asciiTheme="minorHAnsi" w:hAnsiTheme="minorHAnsi" w:cstheme="minorHAnsi"/>
                <w:szCs w:val="18"/>
              </w:rPr>
              <w:t>Urgent care includes:</w:t>
            </w:r>
          </w:p>
          <w:p w14:paraId="3030E2B7" w14:textId="77777777" w:rsidR="00B32942" w:rsidRPr="006B5483" w:rsidRDefault="00B32942" w:rsidP="0009447E">
            <w:pPr>
              <w:pStyle w:val="Lijstalinea"/>
              <w:numPr>
                <w:ilvl w:val="0"/>
                <w:numId w:val="8"/>
              </w:numPr>
              <w:jc w:val="both"/>
              <w:rPr>
                <w:rFonts w:asciiTheme="minorHAnsi" w:eastAsia="MS Mincho" w:hAnsiTheme="minorHAnsi" w:cstheme="minorHAnsi"/>
                <w:bCs/>
                <w:sz w:val="18"/>
                <w:szCs w:val="18"/>
              </w:rPr>
            </w:pPr>
            <w:r w:rsidRPr="006B5483">
              <w:rPr>
                <w:rFonts w:asciiTheme="minorHAnsi" w:eastAsia="MS Mincho" w:hAnsiTheme="minorHAnsi" w:cstheme="minorHAnsi"/>
                <w:bCs/>
                <w:sz w:val="18"/>
                <w:szCs w:val="18"/>
              </w:rPr>
              <w:t>Homecheck - If you cause pain during an Inferior dental block (IDB), implant or endodontic or surgical extraction treatment follow them up the next day and check they are OK. If the patient reports numbness, altered sensation and or pain reassure them. Endodontic nerve injuries may take 2-3 days to develop which may be due to chemical leakage of high pH chemical used for cleansing the dental pulpal chamber leaking out of the apex of the tooth.</w:t>
            </w:r>
          </w:p>
          <w:p w14:paraId="5E76499D" w14:textId="77777777" w:rsidR="00B32942" w:rsidRPr="006B5483" w:rsidRDefault="00B32942" w:rsidP="0009447E">
            <w:pPr>
              <w:pStyle w:val="Lijstalinea"/>
              <w:numPr>
                <w:ilvl w:val="0"/>
                <w:numId w:val="8"/>
              </w:numPr>
              <w:jc w:val="both"/>
              <w:rPr>
                <w:rFonts w:asciiTheme="minorHAnsi" w:eastAsia="MS Mincho" w:hAnsiTheme="minorHAnsi" w:cstheme="minorHAnsi"/>
                <w:bCs/>
                <w:sz w:val="18"/>
                <w:szCs w:val="18"/>
              </w:rPr>
            </w:pPr>
            <w:r w:rsidRPr="006B5483">
              <w:rPr>
                <w:rFonts w:asciiTheme="minorHAnsi" w:eastAsia="MS Mincho" w:hAnsiTheme="minorHAnsi" w:cstheme="minorHAnsi"/>
                <w:bCs/>
                <w:sz w:val="18"/>
                <w:szCs w:val="18"/>
              </w:rPr>
              <w:t>Continue to support and reassure your patient and advise them to visit to confirm the presence of neuropathy. If the neuropathy affects most of the dermatome +/- associated with severe neuropathic pain nerve injury must be suspected. Reassure your patient that 75% of these injuries resolve.</w:t>
            </w:r>
          </w:p>
          <w:p w14:paraId="7AF302A5" w14:textId="77777777" w:rsidR="00B32942" w:rsidRPr="006B5483" w:rsidRDefault="00B32942" w:rsidP="0009447E">
            <w:pPr>
              <w:pStyle w:val="Lijstalinea"/>
              <w:numPr>
                <w:ilvl w:val="0"/>
                <w:numId w:val="8"/>
              </w:numPr>
              <w:jc w:val="both"/>
              <w:rPr>
                <w:rFonts w:asciiTheme="minorHAnsi" w:eastAsia="MS Mincho" w:hAnsiTheme="minorHAnsi" w:cstheme="minorHAnsi"/>
                <w:bCs/>
                <w:sz w:val="18"/>
                <w:szCs w:val="18"/>
              </w:rPr>
            </w:pPr>
            <w:r w:rsidRPr="006B5483">
              <w:rPr>
                <w:rFonts w:asciiTheme="minorHAnsi" w:eastAsia="MS Mincho" w:hAnsiTheme="minorHAnsi" w:cstheme="minorHAnsi"/>
                <w:bCs/>
                <w:sz w:val="18"/>
                <w:szCs w:val="18"/>
              </w:rPr>
              <w:t>Say SORRY as this is NOT an admission of guilt</w:t>
            </w:r>
          </w:p>
          <w:p w14:paraId="57B96262" w14:textId="77777777" w:rsidR="00B32942" w:rsidRPr="006B5483" w:rsidRDefault="00B32942" w:rsidP="0009447E">
            <w:pPr>
              <w:pStyle w:val="Lijstalinea"/>
              <w:numPr>
                <w:ilvl w:val="0"/>
                <w:numId w:val="8"/>
              </w:numPr>
              <w:jc w:val="both"/>
              <w:rPr>
                <w:rFonts w:asciiTheme="minorHAnsi" w:eastAsia="MS Mincho" w:hAnsiTheme="minorHAnsi" w:cstheme="minorHAnsi"/>
                <w:bCs/>
                <w:sz w:val="18"/>
                <w:szCs w:val="18"/>
              </w:rPr>
            </w:pPr>
            <w:r w:rsidRPr="006B5483">
              <w:rPr>
                <w:rFonts w:asciiTheme="minorHAnsi" w:eastAsia="MS Mincho" w:hAnsiTheme="minorHAnsi" w:cstheme="minorHAnsi"/>
                <w:bCs/>
                <w:sz w:val="18"/>
                <w:szCs w:val="18"/>
              </w:rPr>
              <w:t>Initiate medical management (recommended for other peripheral sensory nerve injuries)</w:t>
            </w:r>
          </w:p>
          <w:p w14:paraId="7E003FE9" w14:textId="77777777" w:rsidR="00B32942" w:rsidRPr="006B5483" w:rsidRDefault="00B32942" w:rsidP="0009447E">
            <w:pPr>
              <w:pStyle w:val="Lijstalinea"/>
              <w:numPr>
                <w:ilvl w:val="1"/>
                <w:numId w:val="8"/>
              </w:numPr>
              <w:jc w:val="both"/>
              <w:rPr>
                <w:rFonts w:asciiTheme="minorHAnsi" w:eastAsia="MS Mincho" w:hAnsiTheme="minorHAnsi" w:cstheme="minorHAnsi"/>
                <w:bCs/>
                <w:sz w:val="18"/>
                <w:szCs w:val="18"/>
              </w:rPr>
            </w:pPr>
            <w:r w:rsidRPr="006B5483">
              <w:rPr>
                <w:rFonts w:asciiTheme="minorHAnsi" w:eastAsia="MS Mincho" w:hAnsiTheme="minorHAnsi" w:cstheme="minorHAnsi"/>
                <w:bCs/>
                <w:sz w:val="18"/>
                <w:szCs w:val="18"/>
              </w:rPr>
              <w:t>High dose oral NSAIDs (400-800mgs Ibuprofen PO QDS) for 2 days only. Bandolier Oxford league table summarises the optimal analgesia for post-operative pain and combined Ibuprofen and paracetamol have the smallest number needed to treat</w:t>
            </w:r>
          </w:p>
          <w:p w14:paraId="6AA0C694" w14:textId="77777777" w:rsidR="00B32942" w:rsidRPr="006B5483" w:rsidRDefault="00B32942" w:rsidP="0009447E">
            <w:pPr>
              <w:pStyle w:val="Lijstalinea"/>
              <w:numPr>
                <w:ilvl w:val="1"/>
                <w:numId w:val="8"/>
              </w:numPr>
              <w:jc w:val="both"/>
              <w:rPr>
                <w:rFonts w:asciiTheme="minorHAnsi" w:eastAsia="MS Mincho" w:hAnsiTheme="minorHAnsi" w:cstheme="minorHAnsi"/>
                <w:bCs/>
                <w:sz w:val="18"/>
                <w:szCs w:val="18"/>
              </w:rPr>
            </w:pPr>
            <w:r w:rsidRPr="006B5483">
              <w:rPr>
                <w:rFonts w:asciiTheme="minorHAnsi" w:eastAsia="MS Mincho" w:hAnsiTheme="minorHAnsi" w:cstheme="minorHAnsi"/>
                <w:bCs/>
                <w:sz w:val="18"/>
                <w:szCs w:val="18"/>
              </w:rPr>
              <w:t xml:space="preserve">GMP prescription for Prednisolone </w:t>
            </w:r>
            <w:proofErr w:type="gramStart"/>
            <w:r w:rsidRPr="006B5483">
              <w:rPr>
                <w:rFonts w:asciiTheme="minorHAnsi" w:eastAsia="MS Mincho" w:hAnsiTheme="minorHAnsi" w:cstheme="minorHAnsi"/>
                <w:bCs/>
                <w:sz w:val="18"/>
                <w:szCs w:val="18"/>
              </w:rPr>
              <w:t>5 day</w:t>
            </w:r>
            <w:proofErr w:type="gramEnd"/>
            <w:r w:rsidRPr="006B5483">
              <w:rPr>
                <w:rFonts w:asciiTheme="minorHAnsi" w:eastAsia="MS Mincho" w:hAnsiTheme="minorHAnsi" w:cstheme="minorHAnsi"/>
                <w:bCs/>
                <w:sz w:val="18"/>
                <w:szCs w:val="18"/>
              </w:rPr>
              <w:t xml:space="preserve"> step down does 50-40-30-20-10mg PO (not for patients with contraindications for steroids or NSAIDs)</w:t>
            </w:r>
          </w:p>
          <w:p w14:paraId="34EEFC33" w14:textId="77777777" w:rsidR="00B32942" w:rsidRPr="006B5483" w:rsidRDefault="00B32942" w:rsidP="0009447E">
            <w:pPr>
              <w:pStyle w:val="Lijstalinea"/>
              <w:numPr>
                <w:ilvl w:val="1"/>
                <w:numId w:val="8"/>
              </w:numPr>
              <w:jc w:val="both"/>
              <w:rPr>
                <w:rFonts w:asciiTheme="minorHAnsi" w:eastAsia="MS Mincho" w:hAnsiTheme="minorHAnsi" w:cstheme="minorHAnsi"/>
                <w:bCs/>
                <w:sz w:val="18"/>
                <w:szCs w:val="18"/>
              </w:rPr>
            </w:pPr>
            <w:r w:rsidRPr="006B5483">
              <w:rPr>
                <w:rFonts w:asciiTheme="minorHAnsi" w:eastAsia="MS Mincho" w:hAnsiTheme="minorHAnsi" w:cstheme="minorHAnsi"/>
                <w:bCs/>
                <w:sz w:val="18"/>
                <w:szCs w:val="18"/>
              </w:rPr>
              <w:t>Vitamin B complex (</w:t>
            </w:r>
            <w:r w:rsidRPr="006B5483">
              <w:rPr>
                <w:rFonts w:asciiTheme="minorHAnsi" w:eastAsia="MS Mincho" w:hAnsiTheme="minorHAnsi" w:cstheme="minorHAnsi"/>
                <w:bCs/>
                <w:sz w:val="18"/>
                <w:szCs w:val="18"/>
                <w:shd w:val="clear" w:color="auto" w:fill="FFFFFF"/>
              </w:rPr>
              <w:t>Riboflavin 400mg once daily for maximum of 3 months plus other Vit B complex)</w:t>
            </w:r>
          </w:p>
          <w:p w14:paraId="7EA038F3" w14:textId="52FC74E7" w:rsidR="00B32942" w:rsidRPr="00DB6756" w:rsidRDefault="00B32942" w:rsidP="0009447E">
            <w:pPr>
              <w:pStyle w:val="Lijstalinea"/>
              <w:numPr>
                <w:ilvl w:val="0"/>
                <w:numId w:val="8"/>
              </w:numPr>
              <w:jc w:val="both"/>
              <w:rPr>
                <w:rFonts w:asciiTheme="minorHAnsi" w:eastAsia="MS Mincho" w:hAnsiTheme="minorHAnsi" w:cstheme="minorHAnsi"/>
                <w:bCs/>
                <w:sz w:val="18"/>
                <w:szCs w:val="18"/>
              </w:rPr>
            </w:pPr>
            <w:r w:rsidRPr="006B5483">
              <w:rPr>
                <w:rFonts w:asciiTheme="minorHAnsi" w:eastAsia="MS Mincho" w:hAnsiTheme="minorHAnsi" w:cstheme="minorHAnsi"/>
                <w:bCs/>
                <w:sz w:val="18"/>
                <w:szCs w:val="18"/>
              </w:rPr>
              <w:t xml:space="preserve">Arrange a review of the patient. </w:t>
            </w:r>
          </w:p>
        </w:tc>
      </w:tr>
    </w:tbl>
    <w:p w14:paraId="7D392BE3" w14:textId="77777777" w:rsidR="0020287B" w:rsidRDefault="0020287B" w:rsidP="003C6750">
      <w:pPr>
        <w:jc w:val="both"/>
        <w:rPr>
          <w:rFonts w:cstheme="minorHAnsi"/>
          <w:bCs/>
        </w:rPr>
      </w:pPr>
    </w:p>
    <w:p w14:paraId="44AD95FA" w14:textId="6727CEE6" w:rsidR="003C6750" w:rsidRPr="006C35DF" w:rsidRDefault="003C6750" w:rsidP="003C6750">
      <w:pPr>
        <w:jc w:val="both"/>
        <w:rPr>
          <w:rFonts w:cstheme="minorHAnsi"/>
          <w:bCs/>
        </w:rPr>
      </w:pPr>
      <w:r w:rsidRPr="006C35DF">
        <w:rPr>
          <w:rFonts w:cstheme="minorHAnsi"/>
          <w:bCs/>
        </w:rPr>
        <w:t xml:space="preserve">The management may include patient reassurance and education, medical, surgical and/or psychological treatments. Patients sustaining </w:t>
      </w:r>
      <w:r w:rsidR="009B2D6E">
        <w:rPr>
          <w:rFonts w:cstheme="minorHAnsi"/>
          <w:bCs/>
        </w:rPr>
        <w:t>local anaesthesia</w:t>
      </w:r>
      <w:r w:rsidRPr="006C35DF">
        <w:rPr>
          <w:rFonts w:cstheme="minorHAnsi"/>
          <w:bCs/>
        </w:rPr>
        <w:t xml:space="preserve">, orthognathic, oncology and trauma related nerve injuries will mainly be managed therapeutically. Surgical treatment is rarely indicated unless in urgent situation. Urgent surgical intervention should be recommended for known or highly suspected nerve injury, and those related to endodontic or implant nerve injury. Later surgical intervention for hypoaesthetic nerve injuries does not return the patient to normality and surgery for patients with pain and hyperaesthesia is </w:t>
      </w:r>
      <w:r w:rsidR="00161E3B">
        <w:rPr>
          <w:rFonts w:cstheme="minorHAnsi"/>
          <w:bCs/>
        </w:rPr>
        <w:t>often not indicated</w:t>
      </w:r>
      <w:r w:rsidRPr="006C35DF">
        <w:rPr>
          <w:rFonts w:cstheme="minorHAnsi"/>
          <w:bCs/>
        </w:rPr>
        <w:t xml:space="preserve"> as the pain is not abated and patients are faced with long term antiepileptics or antidepressants for chronic pain </w:t>
      </w:r>
      <w:r w:rsidRPr="006C35DF">
        <w:rPr>
          <w:rFonts w:cstheme="minorHAnsi"/>
          <w:bCs/>
        </w:rPr>
        <w:fldChar w:fldCharType="begin" w:fldLock="1"/>
      </w:r>
      <w:r w:rsidR="00DD5B97">
        <w:rPr>
          <w:rFonts w:cstheme="minorHAnsi"/>
          <w:bCs/>
        </w:rPr>
        <w:instrText>ADDIN CSL_CITATION {"citationItems":[{"id":"ITEM-1","itemData":{"DOI":"10.1016/j.joms.2016.02.005","ISSN":"15315053","PMID":"26970144","abstract":"Purpose Most patients who seek relief from trigeminal neuropathic pain by trigeminal microneurosurgery techniques do not show permanent pain relief after surgery. However, a small number of patients have permanent relief after surgery. The objective of this study was to determine factors that might be associated with the resolution, decrease, or recurrence of neuropathic pain after trigeminal nerve surgery in those patients who present with neuropathic pain before surgery. Patients and Methods An ambispective study design was used to assess patients who underwent trigeminal nerve repair of the inferior alveolar and lingual nerve who had documented neuropathic pain before surgery from 2006 through 2014. The primary endpoint was the difference in pain intensity at 3, 6, and 12 months after surgery compared with presurgical intensity levels. Explanatory variables, including age at surgery, gender, site of nerve injury, etiology of nerve injury, classification of nerve injury, duration from injury to repair, health comorbidities, and type of repair performed, were evaluated as potential factors in the outcomes. Wilcoxon signed rank analysis was used to compare demographic and injury characteristics of patients who had pain relief, partial pain relief, and no pain relief after surgery. Two-way analysis of variance and logistic regression analysis were used to evaluate the association between neuropathic pain and the explanatory variables. Results Twenty-eight patients met the inclusion criteria. Three cohorts of patients were identified and analyzed. The no-recurrence cohort included 7 patients who had neuropathic pain before surgery that was resolved with surgery. The complete-recurrence (CR) cohort included 10 patients who had neuropathic pain before surgery and complete recurrence of pain intensity after surgery. The incomplete-recurrence (ICR) cohort included 11 patients who had neuropathic pain before surgery and partial recurrence of pain intensity after surgery. There was no statistical difference in preoperative pain intensity levels among the 3 cohorts (P = .16), but there were statistical differences at 3 months (P = .007), 6 months (P &lt; .0001), and 12 months (P &lt; .0001). There were no statistical differences between the CR and ICR cohorts at 3 months (P = .502), 6 months (P = .1), and 12 months (P = .2). There was no effect by age, gender, injury type, Sunderland classification, injury etiology, duration from injury to repair, health comorbidity, …","author":[{"dropping-particle":"","family":"Zuniga","given":"John R.","non-dropping-particle":"","parse-names":false,"suffix":""},{"dropping-particle":"","family":"Yates","given":"David M.","non-dropping-particle":"","parse-names":false,"suffix":""}],"container-title":"Journal of Oral and Maxillofacial Surgery","id":"ITEM-1","issue":"7","issued":{"date-parts":[["2016"]]},"page":"1323-1329","title":"Factors Determining Outcome After Trigeminal Nerve Surgery for Neuropathic Pain","type":"article-journal","volume":"74"},"uris":["http://www.mendeley.com/documents/?uuid=93da25ec-7b28-4bb9-8464-5ce249e6c573"]},{"id":"ITEM-2","itemData":{"DOI":"10.1016/j.joms.2014.08.003","ISSN":"15315053","abstract":"Purpose The risk for the continuation or recurrence of neuropathic pain following trigeminal nerve repair has never been examined. The objective of this study was to determine which risk factors might be associated with the continuation or recurrence of neuropathic pain following trigeminal nerve microneurosurgery. Patients and Methods An ambispective study design was used to assess subjects who underwent trigeminal nerve repair of the inferior alveolar nerve and lingual nerve between 2000 and 2010. The primary outcome was the presence or absence of neuropathic pain at 3, 6, and 12 months after surgery. Explanatory variables, including age at surgery, gender, presence of neuropathic pain before surgery, site of nerve injury, etiology of nerve injury, classification of nerve injury, duration of nerve injury, and type of repair performed, were abstracted from patient charts. Fisher exact tests were used to compare the demographic and injury characteristics of patients who presented with pain before surgery and those who did not. The McNemar test was used to assess whether there was a significant change in neuropathic pain report from before to after surgery. The level of significance was set at.50. Results Of the 65 patients analyzed, two-thirds were women; the average age was 36 ± 16.1 years, and the median time between the injury and surgery was 6.4 months (interquartile range, 6.7 months). Lingual nerve injury type was the most frequent (62%). There was no statistically significant change in pain status from before to after surgery (P =.104). Only 1 patient had pain after surgery who had not had pain before surgery, while 67% of those with pain before surgery continued to have pain after surgery. Pain prior to surgery as a predictor of pain after had sensitivity of 91%, specificity of 88%, positive predictive value of 67%, and negative predictive value 97%. Conclusions The presence of neuropathic pain prior to trigeminal microneurosurgery is the major risk factor for the continuation or recurrence of postoperative neuropathic pain. These findings suggest that trigeminal nerve surgery is not a risk factor for developing neuropathic pain in the absence of neuropathic pain before surgery.","author":[{"dropping-particle":"","family":"Zuniga","given":"John R.","non-dropping-particle":"","parse-names":false,"suffix":""},{"dropping-particle":"","family":"Yates","given":"David M.","non-dropping-particle":"","parse-names":false,"suffix":""},{"dropping-particle":"","family":"Phillips","given":"Ceib L.","non-dropping-particle":"","parse-names":false,"suffix":""}],"container-title":"Journal of Oral and Maxillofacial Surgery","id":"ITEM-2","issue":"12","issued":{"date-parts":[["2014"]]},"page":"2422-2427","publisher":"American Association of Oral and Maxillofacial Surgeons","title":"The presence of neuropathic pain predicts postoperative neuropathic pain following trigeminal nerve repair","type":"article-journal","volume":"72"},"uris":["http://www.mendeley.com/documents/?uuid=29a2081c-94eb-483d-b3d7-a2d1857c5201"]},{"id":"ITEM-3","itemData":{"DOI":"10.1111/joor.12313","ISSN":"1365-2842 (Electronic)","PMID":"26059454","abstract":"The inferior alveolar nerve (IAN) and lingual (LN) are susceptible to iatrogenic  surgical damage. Systematically review recent clinical evidence regarding IAN/LN repair methods and to develop updated guidelines for managing injury. Recent publications on IAN/LN microsurgical repair from Medline, Embase and Cochrane Library databases were screened by title/abstract. Main texts were appraised for exclusion criteria: no treatment performed or results provided, poor/lacking procedural description, cohort &lt;3 patients. Of 366 retrieved papers, 27 were suitable for final analysis. Treatment type for injured IANs/LNs depended on injury type, injury timing, neurosensory disturbances and intra-operative findings. Best functional nerve recovery occurred after direct apposition and suturing if nerve ending gaps were &lt;10 mm; larger gaps required nerve grafting (sural/greater auricular nerve). Timing of microneurosurgical repair after injury remains debated. Most authors recommend surgery when neurosensory deficit shows no improvement 90 days post-diagnosis. Nerve transection diagnosed intra-operatively should be repaired in situ; minor nerve injury repair can be delayed. No consensus exists regarding optimal methods and timing for IAN/LN repair. We suggest a schematic guideline for treating IAN/LN injury, based on the most current evidence. We acknowledge that additional RCTs are required to provide definitive confirmation of optimal treatment approaches.","author":[{"dropping-particle":"","family":"Kushnerev","given":"E","non-dropping-particle":"","parse-names":false,"suffix":""},{"dropping-particle":"","family":"Yates","given":"J M","non-dropping-particle":"","parse-names":false,"suffix":""}],"container-title":"Journal of oral rehabilitation","id":"ITEM-3","issue":"10","issued":{"date-parts":[["2015","10"]]},"language":"eng","page":"786-802","publisher-place":"England","title":"Evidence-based outcomes following inferior alveolar and lingual nerve injury and  repair: a systematic review.","type":"article-journal","volume":"42"},"uris":["http://www.mendeley.com/documents/?uuid=77f58cf7-e6eb-4037-a023-763e2d1accf3"]}],"mendeley":{"formattedCitation":"(Kushnerev &amp; Yates, 2015; Zuniga et al., 2014; Zuniga &amp; Yates, 2016)","plainTextFormattedCitation":"(Kushnerev &amp; Yates, 2015; Zuniga et al., 2014; Zuniga &amp; Yates, 2016)","previouslyFormattedCitation":"(Kushnerev &amp; Yates, 2015; Zuniga et al., 2014; Zuniga &amp; Yates, 2016)"},"properties":{"noteIndex":0},"schema":"https://github.com/citation-style-language/schema/raw/master/csl-citation.json"}</w:instrText>
      </w:r>
      <w:r w:rsidRPr="006C35DF">
        <w:rPr>
          <w:rFonts w:cstheme="minorHAnsi"/>
          <w:bCs/>
        </w:rPr>
        <w:fldChar w:fldCharType="separate"/>
      </w:r>
      <w:r w:rsidR="00950FB1" w:rsidRPr="00950FB1">
        <w:rPr>
          <w:rFonts w:cstheme="minorHAnsi"/>
          <w:bCs/>
          <w:noProof/>
        </w:rPr>
        <w:t>(Kushnerev &amp; Yates, 2015; Zuniga et al., 2014; Zuniga &amp; Yates, 2016)</w:t>
      </w:r>
      <w:r w:rsidRPr="006C35DF">
        <w:rPr>
          <w:rFonts w:cstheme="minorHAnsi"/>
          <w:bCs/>
        </w:rPr>
        <w:fldChar w:fldCharType="end"/>
      </w:r>
      <w:r w:rsidRPr="006C35DF">
        <w:rPr>
          <w:rFonts w:cstheme="minorHAnsi"/>
          <w:bCs/>
        </w:rPr>
        <w:t>.</w:t>
      </w:r>
    </w:p>
    <w:p w14:paraId="336448E3" w14:textId="29DFBE5B" w:rsidR="003C6750" w:rsidRDefault="003C6750" w:rsidP="003C6750">
      <w:pPr>
        <w:jc w:val="both"/>
        <w:rPr>
          <w:rFonts w:cstheme="minorHAnsi"/>
          <w:bCs/>
        </w:rPr>
      </w:pPr>
      <w:r w:rsidRPr="006C35DF">
        <w:rPr>
          <w:rFonts w:cstheme="minorHAnsi"/>
          <w:bCs/>
        </w:rPr>
        <w:t xml:space="preserve">Counselling is the most useful effective tool for managing patients with problematic permanent sensory nerve injuries. As previously stated, the assessment of </w:t>
      </w:r>
      <w:r w:rsidR="0076156C">
        <w:rPr>
          <w:rFonts w:cstheme="minorHAnsi"/>
          <w:bCs/>
        </w:rPr>
        <w:t>axis</w:t>
      </w:r>
      <w:r w:rsidRPr="006C35DF">
        <w:rPr>
          <w:rFonts w:cstheme="minorHAnsi"/>
          <w:bCs/>
        </w:rPr>
        <w:t xml:space="preserve"> 2 is imperative in holistic patient care. Psychological interventions may include cognitive behavioural therapy, acceptance and commitment therapy, mindfulness, meditation, group of individual counselling depending upon the patient’s needs.</w:t>
      </w:r>
    </w:p>
    <w:p w14:paraId="294CEDCE" w14:textId="5D55D663" w:rsidR="003C6750" w:rsidRPr="00451456" w:rsidRDefault="003C6750" w:rsidP="003C6750">
      <w:r>
        <w:t>Table</w:t>
      </w:r>
      <w:r w:rsidR="00ED3939">
        <w:t xml:space="preserve"> 3</w:t>
      </w:r>
      <w:r>
        <w:t xml:space="preserve">. </w:t>
      </w:r>
      <w:r w:rsidRPr="006C35DF">
        <w:rPr>
          <w:rFonts w:cstheme="minorHAnsi"/>
          <w:bCs/>
          <w:noProof/>
          <w:lang w:val="en-IN" w:eastAsia="en-IN"/>
        </w:rPr>
        <w:t xml:space="preserve">Algorithm for management of </w:t>
      </w:r>
      <w:r>
        <w:rPr>
          <w:rFonts w:cstheme="minorHAnsi"/>
          <w:bCs/>
          <w:noProof/>
          <w:lang w:val="en-IN" w:eastAsia="en-IN"/>
        </w:rPr>
        <w:t>t</w:t>
      </w:r>
      <w:r w:rsidRPr="006C35DF">
        <w:rPr>
          <w:rFonts w:cstheme="minorHAnsi"/>
          <w:bCs/>
          <w:noProof/>
          <w:lang w:val="en-IN" w:eastAsia="en-IN"/>
        </w:rPr>
        <w:t>rigeminal nerve injuries</w:t>
      </w:r>
      <w:r>
        <w:rPr>
          <w:rFonts w:cstheme="minorHAnsi"/>
          <w:bCs/>
          <w:noProof/>
          <w:lang w:val="en-IN" w:eastAsia="en-IN"/>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018"/>
        <w:gridCol w:w="3018"/>
        <w:gridCol w:w="3016"/>
      </w:tblGrid>
      <w:tr w:rsidR="003C6750" w:rsidRPr="00377C87" w14:paraId="1F0CBCCB" w14:textId="77777777" w:rsidTr="00ED3939">
        <w:trPr>
          <w:trHeight w:val="20"/>
        </w:trPr>
        <w:tc>
          <w:tcPr>
            <w:tcW w:w="1667" w:type="pct"/>
            <w:shd w:val="clear" w:color="auto" w:fill="D9D9D9"/>
            <w:tcMar>
              <w:top w:w="100" w:type="dxa"/>
              <w:left w:w="100" w:type="dxa"/>
              <w:bottom w:w="100" w:type="dxa"/>
              <w:right w:w="100" w:type="dxa"/>
            </w:tcMar>
          </w:tcPr>
          <w:p w14:paraId="074BBA4D" w14:textId="77777777" w:rsidR="003C6750" w:rsidRPr="00377C87" w:rsidRDefault="003C6750" w:rsidP="00B7130A">
            <w:pPr>
              <w:rPr>
                <w:b/>
                <w:sz w:val="16"/>
                <w:szCs w:val="16"/>
                <w:lang w:val="nl-BE"/>
              </w:rPr>
            </w:pPr>
            <w:r w:rsidRPr="00377C87">
              <w:rPr>
                <w:b/>
                <w:sz w:val="16"/>
                <w:szCs w:val="16"/>
                <w:lang w:val="nl-BE"/>
              </w:rPr>
              <w:t>Etiology of nerve injury</w:t>
            </w:r>
          </w:p>
        </w:tc>
        <w:tc>
          <w:tcPr>
            <w:tcW w:w="1667" w:type="pct"/>
            <w:shd w:val="clear" w:color="auto" w:fill="D9D9D9"/>
            <w:tcMar>
              <w:top w:w="100" w:type="dxa"/>
              <w:left w:w="100" w:type="dxa"/>
              <w:bottom w:w="100" w:type="dxa"/>
              <w:right w:w="100" w:type="dxa"/>
            </w:tcMar>
          </w:tcPr>
          <w:p w14:paraId="7F36D3DE" w14:textId="77777777" w:rsidR="003C6750" w:rsidRPr="00377C87" w:rsidRDefault="003C6750" w:rsidP="00B7130A">
            <w:pPr>
              <w:rPr>
                <w:b/>
                <w:sz w:val="16"/>
                <w:szCs w:val="16"/>
                <w:lang w:val="nl-BE"/>
              </w:rPr>
            </w:pPr>
            <w:r w:rsidRPr="00377C87">
              <w:rPr>
                <w:b/>
                <w:sz w:val="16"/>
                <w:szCs w:val="16"/>
                <w:lang w:val="nl-BE"/>
              </w:rPr>
              <w:t>Time since injury</w:t>
            </w:r>
          </w:p>
        </w:tc>
        <w:tc>
          <w:tcPr>
            <w:tcW w:w="1667" w:type="pct"/>
            <w:shd w:val="clear" w:color="auto" w:fill="D9D9D9"/>
            <w:tcMar>
              <w:top w:w="100" w:type="dxa"/>
              <w:left w:w="100" w:type="dxa"/>
              <w:bottom w:w="100" w:type="dxa"/>
              <w:right w:w="100" w:type="dxa"/>
            </w:tcMar>
          </w:tcPr>
          <w:p w14:paraId="756AD8D1" w14:textId="77777777" w:rsidR="003C6750" w:rsidRPr="00377C87" w:rsidRDefault="003C6750" w:rsidP="00B7130A">
            <w:pPr>
              <w:rPr>
                <w:b/>
                <w:sz w:val="16"/>
                <w:szCs w:val="16"/>
                <w:lang w:val="nl-BE"/>
              </w:rPr>
            </w:pPr>
            <w:r w:rsidRPr="00377C87">
              <w:rPr>
                <w:b/>
                <w:sz w:val="16"/>
                <w:szCs w:val="16"/>
                <w:lang w:val="nl-BE"/>
              </w:rPr>
              <w:t>Treatment</w:t>
            </w:r>
          </w:p>
        </w:tc>
      </w:tr>
      <w:tr w:rsidR="003C6750" w:rsidRPr="00377C87" w14:paraId="732F2B3C" w14:textId="77777777" w:rsidTr="00E32BF4">
        <w:trPr>
          <w:trHeight w:val="31"/>
        </w:trPr>
        <w:tc>
          <w:tcPr>
            <w:tcW w:w="1667" w:type="pct"/>
            <w:shd w:val="clear" w:color="auto" w:fill="auto"/>
            <w:tcMar>
              <w:top w:w="100" w:type="dxa"/>
              <w:left w:w="100" w:type="dxa"/>
              <w:bottom w:w="100" w:type="dxa"/>
              <w:right w:w="100" w:type="dxa"/>
            </w:tcMar>
          </w:tcPr>
          <w:p w14:paraId="46B37CC1" w14:textId="77777777" w:rsidR="003C6750" w:rsidRPr="00377C87" w:rsidRDefault="003C6750" w:rsidP="00B7130A">
            <w:pPr>
              <w:rPr>
                <w:sz w:val="16"/>
                <w:szCs w:val="16"/>
                <w:lang w:val="en-US"/>
              </w:rPr>
            </w:pPr>
            <w:r w:rsidRPr="00377C87">
              <w:rPr>
                <w:sz w:val="16"/>
                <w:szCs w:val="16"/>
                <w:lang w:val="en-US"/>
              </w:rPr>
              <w:lastRenderedPageBreak/>
              <w:t xml:space="preserve">Known or suspected nerve injury </w:t>
            </w:r>
          </w:p>
        </w:tc>
        <w:tc>
          <w:tcPr>
            <w:tcW w:w="1667" w:type="pct"/>
            <w:shd w:val="clear" w:color="auto" w:fill="auto"/>
            <w:tcMar>
              <w:top w:w="100" w:type="dxa"/>
              <w:left w:w="100" w:type="dxa"/>
              <w:bottom w:w="100" w:type="dxa"/>
              <w:right w:w="100" w:type="dxa"/>
            </w:tcMar>
          </w:tcPr>
          <w:p w14:paraId="6EC5DD1D" w14:textId="77777777" w:rsidR="003C6750" w:rsidRPr="00377C87" w:rsidRDefault="003C6750" w:rsidP="00B7130A">
            <w:pPr>
              <w:rPr>
                <w:sz w:val="16"/>
                <w:szCs w:val="16"/>
                <w:lang w:val="en-US"/>
              </w:rPr>
            </w:pPr>
          </w:p>
        </w:tc>
        <w:tc>
          <w:tcPr>
            <w:tcW w:w="1667" w:type="pct"/>
            <w:shd w:val="clear" w:color="auto" w:fill="auto"/>
            <w:tcMar>
              <w:top w:w="100" w:type="dxa"/>
              <w:left w:w="100" w:type="dxa"/>
              <w:bottom w:w="100" w:type="dxa"/>
              <w:right w:w="100" w:type="dxa"/>
            </w:tcMar>
          </w:tcPr>
          <w:p w14:paraId="37C09C0B" w14:textId="77777777" w:rsidR="003C6750" w:rsidRPr="00377C87" w:rsidRDefault="003C6750" w:rsidP="00B7130A">
            <w:pPr>
              <w:rPr>
                <w:b/>
                <w:sz w:val="16"/>
                <w:szCs w:val="16"/>
                <w:lang w:val="nl-BE"/>
              </w:rPr>
            </w:pPr>
            <w:r w:rsidRPr="00377C87">
              <w:rPr>
                <w:b/>
                <w:sz w:val="16"/>
                <w:szCs w:val="16"/>
                <w:lang w:val="nl-BE"/>
              </w:rPr>
              <w:t>Immediate exploration</w:t>
            </w:r>
          </w:p>
        </w:tc>
      </w:tr>
      <w:tr w:rsidR="003C6750" w:rsidRPr="00377C87" w14:paraId="41C32B1C" w14:textId="77777777" w:rsidTr="00ED3939">
        <w:trPr>
          <w:trHeight w:val="20"/>
        </w:trPr>
        <w:tc>
          <w:tcPr>
            <w:tcW w:w="1667" w:type="pct"/>
            <w:shd w:val="clear" w:color="auto" w:fill="auto"/>
            <w:tcMar>
              <w:top w:w="100" w:type="dxa"/>
              <w:left w:w="100" w:type="dxa"/>
              <w:bottom w:w="100" w:type="dxa"/>
              <w:right w:w="100" w:type="dxa"/>
            </w:tcMar>
          </w:tcPr>
          <w:p w14:paraId="739A8372" w14:textId="77777777" w:rsidR="003C6750" w:rsidRPr="00377C87" w:rsidRDefault="003C6750" w:rsidP="00B7130A">
            <w:pPr>
              <w:rPr>
                <w:sz w:val="16"/>
                <w:szCs w:val="16"/>
                <w:lang w:val="en-US"/>
              </w:rPr>
            </w:pPr>
            <w:r w:rsidRPr="00377C87">
              <w:rPr>
                <w:sz w:val="16"/>
                <w:szCs w:val="16"/>
                <w:lang w:val="en-US"/>
              </w:rPr>
              <w:t>Wisdom tooth surgery with retained roots</w:t>
            </w:r>
          </w:p>
        </w:tc>
        <w:tc>
          <w:tcPr>
            <w:tcW w:w="1667" w:type="pct"/>
            <w:shd w:val="clear" w:color="auto" w:fill="auto"/>
            <w:tcMar>
              <w:top w:w="100" w:type="dxa"/>
              <w:left w:w="100" w:type="dxa"/>
              <w:bottom w:w="100" w:type="dxa"/>
              <w:right w:w="100" w:type="dxa"/>
            </w:tcMar>
          </w:tcPr>
          <w:p w14:paraId="09B1A6ED" w14:textId="77777777" w:rsidR="003C6750" w:rsidRPr="00377C87" w:rsidRDefault="003C6750" w:rsidP="00B7130A">
            <w:pPr>
              <w:rPr>
                <w:sz w:val="16"/>
                <w:szCs w:val="16"/>
                <w:lang w:val="nl-BE"/>
              </w:rPr>
            </w:pPr>
            <w:r w:rsidRPr="00377C87">
              <w:rPr>
                <w:sz w:val="16"/>
                <w:szCs w:val="16"/>
                <w:lang w:val="nl-BE"/>
              </w:rPr>
              <w:t>&lt; 30 hours</w:t>
            </w:r>
          </w:p>
        </w:tc>
        <w:tc>
          <w:tcPr>
            <w:tcW w:w="1667" w:type="pct"/>
            <w:shd w:val="clear" w:color="auto" w:fill="auto"/>
            <w:tcMar>
              <w:top w:w="100" w:type="dxa"/>
              <w:left w:w="100" w:type="dxa"/>
              <w:bottom w:w="100" w:type="dxa"/>
              <w:right w:w="100" w:type="dxa"/>
            </w:tcMar>
          </w:tcPr>
          <w:p w14:paraId="7F5D84F8" w14:textId="77777777" w:rsidR="003C6750" w:rsidRPr="00377C87" w:rsidRDefault="003C6750" w:rsidP="00B7130A">
            <w:pPr>
              <w:rPr>
                <w:b/>
                <w:sz w:val="16"/>
                <w:szCs w:val="16"/>
                <w:lang w:val="nl-BE"/>
              </w:rPr>
            </w:pPr>
            <w:r w:rsidRPr="00377C87">
              <w:rPr>
                <w:b/>
                <w:sz w:val="16"/>
                <w:szCs w:val="16"/>
                <w:lang w:val="nl-BE"/>
              </w:rPr>
              <w:t>Immediate exploration</w:t>
            </w:r>
          </w:p>
        </w:tc>
      </w:tr>
      <w:tr w:rsidR="003C6750" w:rsidRPr="00377C87" w14:paraId="555EDAFD" w14:textId="77777777" w:rsidTr="00ED3939">
        <w:trPr>
          <w:trHeight w:val="20"/>
        </w:trPr>
        <w:tc>
          <w:tcPr>
            <w:tcW w:w="1667" w:type="pct"/>
            <w:shd w:val="clear" w:color="auto" w:fill="auto"/>
            <w:tcMar>
              <w:top w:w="100" w:type="dxa"/>
              <w:left w:w="100" w:type="dxa"/>
              <w:bottom w:w="100" w:type="dxa"/>
              <w:right w:w="100" w:type="dxa"/>
            </w:tcMar>
          </w:tcPr>
          <w:p w14:paraId="7759A550" w14:textId="77777777" w:rsidR="003C6750" w:rsidRPr="00377C87" w:rsidRDefault="003C6750" w:rsidP="00B7130A">
            <w:pPr>
              <w:rPr>
                <w:sz w:val="16"/>
                <w:szCs w:val="16"/>
                <w:lang w:val="nl-BE"/>
              </w:rPr>
            </w:pPr>
            <w:r w:rsidRPr="00377C87">
              <w:rPr>
                <w:sz w:val="16"/>
                <w:szCs w:val="16"/>
                <w:lang w:val="nl-BE"/>
              </w:rPr>
              <w:t>Dental implant placement</w:t>
            </w:r>
          </w:p>
        </w:tc>
        <w:tc>
          <w:tcPr>
            <w:tcW w:w="1667" w:type="pct"/>
            <w:shd w:val="clear" w:color="auto" w:fill="auto"/>
            <w:tcMar>
              <w:top w:w="100" w:type="dxa"/>
              <w:left w:w="100" w:type="dxa"/>
              <w:bottom w:w="100" w:type="dxa"/>
              <w:right w:w="100" w:type="dxa"/>
            </w:tcMar>
          </w:tcPr>
          <w:p w14:paraId="4527ED97" w14:textId="77777777" w:rsidR="003C6750" w:rsidRPr="00377C87" w:rsidRDefault="003C6750" w:rsidP="00B7130A">
            <w:pPr>
              <w:rPr>
                <w:sz w:val="16"/>
                <w:szCs w:val="16"/>
                <w:lang w:val="nl-BE"/>
              </w:rPr>
            </w:pPr>
            <w:r w:rsidRPr="00377C87">
              <w:rPr>
                <w:sz w:val="16"/>
                <w:szCs w:val="16"/>
                <w:lang w:val="nl-BE"/>
              </w:rPr>
              <w:t>&lt; 30 hours</w:t>
            </w:r>
          </w:p>
        </w:tc>
        <w:tc>
          <w:tcPr>
            <w:tcW w:w="1667" w:type="pct"/>
            <w:shd w:val="clear" w:color="auto" w:fill="auto"/>
            <w:tcMar>
              <w:top w:w="100" w:type="dxa"/>
              <w:left w:w="100" w:type="dxa"/>
              <w:bottom w:w="100" w:type="dxa"/>
              <w:right w:w="100" w:type="dxa"/>
            </w:tcMar>
          </w:tcPr>
          <w:p w14:paraId="27D299B1" w14:textId="77777777" w:rsidR="003C6750" w:rsidRPr="00377C87" w:rsidRDefault="003C6750" w:rsidP="00B7130A">
            <w:pPr>
              <w:rPr>
                <w:b/>
                <w:sz w:val="16"/>
                <w:szCs w:val="16"/>
                <w:lang w:val="nl-BE"/>
              </w:rPr>
            </w:pPr>
            <w:r w:rsidRPr="00377C87">
              <w:rPr>
                <w:b/>
                <w:sz w:val="16"/>
                <w:szCs w:val="16"/>
                <w:lang w:val="nl-BE"/>
              </w:rPr>
              <w:t>Immediate exploration</w:t>
            </w:r>
          </w:p>
        </w:tc>
      </w:tr>
      <w:tr w:rsidR="003C6750" w:rsidRPr="00377C87" w14:paraId="14B65150" w14:textId="77777777" w:rsidTr="00ED3939">
        <w:trPr>
          <w:trHeight w:val="20"/>
        </w:trPr>
        <w:tc>
          <w:tcPr>
            <w:tcW w:w="1667" w:type="pct"/>
            <w:shd w:val="clear" w:color="auto" w:fill="auto"/>
            <w:tcMar>
              <w:top w:w="100" w:type="dxa"/>
              <w:left w:w="100" w:type="dxa"/>
              <w:bottom w:w="100" w:type="dxa"/>
              <w:right w:w="100" w:type="dxa"/>
            </w:tcMar>
          </w:tcPr>
          <w:p w14:paraId="330404E3" w14:textId="77777777" w:rsidR="003C6750" w:rsidRPr="00377C87" w:rsidRDefault="003C6750" w:rsidP="00B7130A">
            <w:pPr>
              <w:rPr>
                <w:sz w:val="16"/>
                <w:szCs w:val="16"/>
                <w:lang w:val="nl-BE"/>
              </w:rPr>
            </w:pPr>
            <w:r w:rsidRPr="00377C87">
              <w:rPr>
                <w:sz w:val="16"/>
                <w:szCs w:val="16"/>
                <w:lang w:val="nl-BE"/>
              </w:rPr>
              <w:t>Endodontic treatment</w:t>
            </w:r>
          </w:p>
        </w:tc>
        <w:tc>
          <w:tcPr>
            <w:tcW w:w="1667" w:type="pct"/>
            <w:shd w:val="clear" w:color="auto" w:fill="auto"/>
            <w:tcMar>
              <w:top w:w="100" w:type="dxa"/>
              <w:left w:w="100" w:type="dxa"/>
              <w:bottom w:w="100" w:type="dxa"/>
              <w:right w:w="100" w:type="dxa"/>
            </w:tcMar>
          </w:tcPr>
          <w:p w14:paraId="3C3C3E4C" w14:textId="77777777" w:rsidR="003C6750" w:rsidRPr="00377C87" w:rsidRDefault="003C6750" w:rsidP="00B7130A">
            <w:pPr>
              <w:rPr>
                <w:sz w:val="16"/>
                <w:szCs w:val="16"/>
                <w:lang w:val="nl-BE"/>
              </w:rPr>
            </w:pPr>
            <w:r w:rsidRPr="00377C87">
              <w:rPr>
                <w:sz w:val="16"/>
                <w:szCs w:val="16"/>
                <w:lang w:val="nl-BE"/>
              </w:rPr>
              <w:t>&lt; 30 hours</w:t>
            </w:r>
          </w:p>
        </w:tc>
        <w:tc>
          <w:tcPr>
            <w:tcW w:w="1667" w:type="pct"/>
            <w:shd w:val="clear" w:color="auto" w:fill="auto"/>
            <w:tcMar>
              <w:top w:w="100" w:type="dxa"/>
              <w:left w:w="100" w:type="dxa"/>
              <w:bottom w:w="100" w:type="dxa"/>
              <w:right w:w="100" w:type="dxa"/>
            </w:tcMar>
          </w:tcPr>
          <w:p w14:paraId="6E2ECE89" w14:textId="77777777" w:rsidR="003C6750" w:rsidRPr="00377C87" w:rsidRDefault="003C6750" w:rsidP="00B7130A">
            <w:pPr>
              <w:rPr>
                <w:b/>
                <w:sz w:val="16"/>
                <w:szCs w:val="16"/>
                <w:lang w:val="nl-BE"/>
              </w:rPr>
            </w:pPr>
            <w:r w:rsidRPr="00377C87">
              <w:rPr>
                <w:b/>
                <w:sz w:val="16"/>
                <w:szCs w:val="16"/>
                <w:lang w:val="nl-BE"/>
              </w:rPr>
              <w:t>Immediate exploration</w:t>
            </w:r>
          </w:p>
        </w:tc>
      </w:tr>
      <w:tr w:rsidR="003C6750" w:rsidRPr="00377C87" w14:paraId="2310A908" w14:textId="77777777" w:rsidTr="00ED3939">
        <w:trPr>
          <w:trHeight w:val="20"/>
        </w:trPr>
        <w:tc>
          <w:tcPr>
            <w:tcW w:w="1667" w:type="pct"/>
            <w:shd w:val="clear" w:color="auto" w:fill="auto"/>
            <w:tcMar>
              <w:top w:w="100" w:type="dxa"/>
              <w:left w:w="100" w:type="dxa"/>
              <w:bottom w:w="100" w:type="dxa"/>
              <w:right w:w="100" w:type="dxa"/>
            </w:tcMar>
          </w:tcPr>
          <w:p w14:paraId="315A2123" w14:textId="77777777" w:rsidR="003C6750" w:rsidRPr="00377C87" w:rsidRDefault="003C6750" w:rsidP="00B7130A">
            <w:pPr>
              <w:rPr>
                <w:sz w:val="16"/>
                <w:szCs w:val="16"/>
                <w:lang w:val="en-US"/>
              </w:rPr>
            </w:pPr>
            <w:r w:rsidRPr="00377C87">
              <w:rPr>
                <w:sz w:val="16"/>
                <w:szCs w:val="16"/>
                <w:lang w:val="en-US"/>
              </w:rPr>
              <w:t>Implant placement or endodontic treatment</w:t>
            </w:r>
          </w:p>
        </w:tc>
        <w:tc>
          <w:tcPr>
            <w:tcW w:w="1667" w:type="pct"/>
            <w:shd w:val="clear" w:color="auto" w:fill="auto"/>
            <w:tcMar>
              <w:top w:w="100" w:type="dxa"/>
              <w:left w:w="100" w:type="dxa"/>
              <w:bottom w:w="100" w:type="dxa"/>
              <w:right w:w="100" w:type="dxa"/>
            </w:tcMar>
          </w:tcPr>
          <w:p w14:paraId="69B60298" w14:textId="77777777" w:rsidR="003C6750" w:rsidRPr="00377C87" w:rsidRDefault="003C6750" w:rsidP="00B7130A">
            <w:pPr>
              <w:rPr>
                <w:sz w:val="16"/>
                <w:szCs w:val="16"/>
                <w:lang w:val="nl-BE"/>
              </w:rPr>
            </w:pPr>
            <w:r w:rsidRPr="00377C87">
              <w:rPr>
                <w:sz w:val="16"/>
                <w:szCs w:val="16"/>
                <w:lang w:val="nl-BE"/>
              </w:rPr>
              <w:t>&gt; 30 hours</w:t>
            </w:r>
          </w:p>
        </w:tc>
        <w:tc>
          <w:tcPr>
            <w:tcW w:w="1667" w:type="pct"/>
            <w:shd w:val="clear" w:color="auto" w:fill="auto"/>
            <w:tcMar>
              <w:top w:w="100" w:type="dxa"/>
              <w:left w:w="100" w:type="dxa"/>
              <w:bottom w:w="100" w:type="dxa"/>
              <w:right w:w="100" w:type="dxa"/>
            </w:tcMar>
          </w:tcPr>
          <w:p w14:paraId="068E7AFB" w14:textId="77777777" w:rsidR="003C6750" w:rsidRPr="00377C87" w:rsidRDefault="003C6750" w:rsidP="00B7130A">
            <w:pPr>
              <w:rPr>
                <w:sz w:val="16"/>
                <w:szCs w:val="16"/>
                <w:lang w:val="nl-BE"/>
              </w:rPr>
            </w:pPr>
            <w:r w:rsidRPr="00377C87">
              <w:rPr>
                <w:sz w:val="16"/>
                <w:szCs w:val="16"/>
                <w:lang w:val="nl-BE"/>
              </w:rPr>
              <w:t xml:space="preserve">Pharmacological </w:t>
            </w:r>
          </w:p>
        </w:tc>
      </w:tr>
      <w:tr w:rsidR="003C6750" w:rsidRPr="00377C87" w14:paraId="27629C1D" w14:textId="77777777" w:rsidTr="00ED3939">
        <w:trPr>
          <w:trHeight w:val="20"/>
        </w:trPr>
        <w:tc>
          <w:tcPr>
            <w:tcW w:w="1667" w:type="pct"/>
            <w:shd w:val="clear" w:color="auto" w:fill="auto"/>
            <w:tcMar>
              <w:top w:w="100" w:type="dxa"/>
              <w:left w:w="100" w:type="dxa"/>
              <w:bottom w:w="100" w:type="dxa"/>
              <w:right w:w="100" w:type="dxa"/>
            </w:tcMar>
          </w:tcPr>
          <w:p w14:paraId="51315413" w14:textId="77777777" w:rsidR="003C6750" w:rsidRPr="00377C87" w:rsidRDefault="003C6750" w:rsidP="00B7130A">
            <w:pPr>
              <w:rPr>
                <w:sz w:val="16"/>
                <w:szCs w:val="16"/>
                <w:lang w:val="en-US"/>
              </w:rPr>
            </w:pPr>
            <w:r w:rsidRPr="00377C87">
              <w:rPr>
                <w:sz w:val="16"/>
                <w:szCs w:val="16"/>
                <w:lang w:val="en-US"/>
              </w:rPr>
              <w:t>Wisdom tooth surgery with inferior alveolar nerve injury, dysesthesia, large neuropathic area, considerable impact on QoL</w:t>
            </w:r>
          </w:p>
        </w:tc>
        <w:tc>
          <w:tcPr>
            <w:tcW w:w="1667" w:type="pct"/>
            <w:shd w:val="clear" w:color="auto" w:fill="auto"/>
            <w:tcMar>
              <w:top w:w="100" w:type="dxa"/>
              <w:left w:w="100" w:type="dxa"/>
              <w:bottom w:w="100" w:type="dxa"/>
              <w:right w:w="100" w:type="dxa"/>
            </w:tcMar>
          </w:tcPr>
          <w:p w14:paraId="6C733145" w14:textId="77777777" w:rsidR="003C6750" w:rsidRPr="00377C87" w:rsidRDefault="003C6750" w:rsidP="00B7130A">
            <w:pPr>
              <w:rPr>
                <w:sz w:val="16"/>
                <w:szCs w:val="16"/>
                <w:lang w:val="nl-BE"/>
              </w:rPr>
            </w:pPr>
            <w:r w:rsidRPr="00377C87">
              <w:rPr>
                <w:sz w:val="16"/>
                <w:szCs w:val="16"/>
                <w:lang w:val="nl-BE"/>
              </w:rPr>
              <w:t>&lt; 3 months</w:t>
            </w:r>
          </w:p>
        </w:tc>
        <w:tc>
          <w:tcPr>
            <w:tcW w:w="1667" w:type="pct"/>
            <w:shd w:val="clear" w:color="auto" w:fill="auto"/>
            <w:tcMar>
              <w:top w:w="100" w:type="dxa"/>
              <w:left w:w="100" w:type="dxa"/>
              <w:bottom w:w="100" w:type="dxa"/>
              <w:right w:w="100" w:type="dxa"/>
            </w:tcMar>
          </w:tcPr>
          <w:p w14:paraId="1A361224" w14:textId="77777777" w:rsidR="003C6750" w:rsidRPr="00377C87" w:rsidRDefault="003C6750" w:rsidP="00B7130A">
            <w:pPr>
              <w:rPr>
                <w:sz w:val="16"/>
                <w:szCs w:val="16"/>
                <w:lang w:val="nl-BE"/>
              </w:rPr>
            </w:pPr>
            <w:r w:rsidRPr="00377C87">
              <w:rPr>
                <w:sz w:val="16"/>
                <w:szCs w:val="16"/>
                <w:lang w:val="nl-BE"/>
              </w:rPr>
              <w:t>Consider exploration</w:t>
            </w:r>
          </w:p>
        </w:tc>
      </w:tr>
      <w:tr w:rsidR="003C6750" w:rsidRPr="00377C87" w14:paraId="25F9CCE5" w14:textId="77777777" w:rsidTr="00731BF9">
        <w:trPr>
          <w:trHeight w:val="502"/>
        </w:trPr>
        <w:tc>
          <w:tcPr>
            <w:tcW w:w="1667" w:type="pct"/>
            <w:shd w:val="clear" w:color="auto" w:fill="auto"/>
            <w:tcMar>
              <w:top w:w="100" w:type="dxa"/>
              <w:left w:w="100" w:type="dxa"/>
              <w:bottom w:w="100" w:type="dxa"/>
              <w:right w:w="100" w:type="dxa"/>
            </w:tcMar>
          </w:tcPr>
          <w:p w14:paraId="0D0BBE62" w14:textId="77777777" w:rsidR="003C6750" w:rsidRPr="00377C87" w:rsidRDefault="003C6750" w:rsidP="00B7130A">
            <w:pPr>
              <w:rPr>
                <w:sz w:val="16"/>
                <w:szCs w:val="16"/>
                <w:lang w:val="en-US"/>
              </w:rPr>
            </w:pPr>
            <w:r w:rsidRPr="00377C87">
              <w:rPr>
                <w:sz w:val="16"/>
                <w:szCs w:val="16"/>
                <w:lang w:val="en-US"/>
              </w:rPr>
              <w:t>Wisdom tooth surgery with lingual nerve injury, large neuropathic area, pain, loss of taste</w:t>
            </w:r>
          </w:p>
        </w:tc>
        <w:tc>
          <w:tcPr>
            <w:tcW w:w="1667" w:type="pct"/>
            <w:shd w:val="clear" w:color="auto" w:fill="auto"/>
            <w:tcMar>
              <w:top w:w="100" w:type="dxa"/>
              <w:left w:w="100" w:type="dxa"/>
              <w:bottom w:w="100" w:type="dxa"/>
              <w:right w:w="100" w:type="dxa"/>
            </w:tcMar>
          </w:tcPr>
          <w:p w14:paraId="169371C6" w14:textId="77777777" w:rsidR="003C6750" w:rsidRPr="00377C87" w:rsidRDefault="003C6750" w:rsidP="00B7130A">
            <w:pPr>
              <w:rPr>
                <w:sz w:val="16"/>
                <w:szCs w:val="16"/>
                <w:lang w:val="nl-BE"/>
              </w:rPr>
            </w:pPr>
            <w:r w:rsidRPr="00377C87">
              <w:rPr>
                <w:sz w:val="16"/>
                <w:szCs w:val="16"/>
                <w:lang w:val="nl-BE"/>
              </w:rPr>
              <w:t>&lt; 3 months</w:t>
            </w:r>
          </w:p>
        </w:tc>
        <w:tc>
          <w:tcPr>
            <w:tcW w:w="1667" w:type="pct"/>
            <w:shd w:val="clear" w:color="auto" w:fill="auto"/>
            <w:tcMar>
              <w:top w:w="100" w:type="dxa"/>
              <w:left w:w="100" w:type="dxa"/>
              <w:bottom w:w="100" w:type="dxa"/>
              <w:right w:w="100" w:type="dxa"/>
            </w:tcMar>
          </w:tcPr>
          <w:p w14:paraId="318066F0" w14:textId="77777777" w:rsidR="003C6750" w:rsidRPr="00377C87" w:rsidRDefault="003C6750" w:rsidP="00B7130A">
            <w:pPr>
              <w:rPr>
                <w:sz w:val="16"/>
                <w:szCs w:val="16"/>
                <w:lang w:val="nl-BE"/>
              </w:rPr>
            </w:pPr>
            <w:r w:rsidRPr="00377C87">
              <w:rPr>
                <w:sz w:val="16"/>
                <w:szCs w:val="16"/>
                <w:lang w:val="nl-BE"/>
              </w:rPr>
              <w:t>Consider exploration</w:t>
            </w:r>
          </w:p>
        </w:tc>
      </w:tr>
      <w:tr w:rsidR="003C6750" w:rsidRPr="00377C87" w14:paraId="72667D0F" w14:textId="77777777" w:rsidTr="00ED3939">
        <w:trPr>
          <w:trHeight w:val="20"/>
        </w:trPr>
        <w:tc>
          <w:tcPr>
            <w:tcW w:w="1667" w:type="pct"/>
            <w:shd w:val="clear" w:color="auto" w:fill="auto"/>
            <w:tcMar>
              <w:top w:w="100" w:type="dxa"/>
              <w:left w:w="100" w:type="dxa"/>
              <w:bottom w:w="100" w:type="dxa"/>
              <w:right w:w="100" w:type="dxa"/>
            </w:tcMar>
          </w:tcPr>
          <w:p w14:paraId="7B364082" w14:textId="77777777" w:rsidR="003C6750" w:rsidRPr="00377C87" w:rsidRDefault="003C6750" w:rsidP="00B7130A">
            <w:pPr>
              <w:rPr>
                <w:sz w:val="16"/>
                <w:szCs w:val="16"/>
                <w:lang w:val="en-US"/>
              </w:rPr>
            </w:pPr>
            <w:r w:rsidRPr="00377C87">
              <w:rPr>
                <w:sz w:val="16"/>
                <w:szCs w:val="16"/>
                <w:lang w:val="en-US"/>
              </w:rPr>
              <w:t xml:space="preserve">Wisdom tooth surgery </w:t>
            </w:r>
          </w:p>
        </w:tc>
        <w:tc>
          <w:tcPr>
            <w:tcW w:w="1667" w:type="pct"/>
            <w:shd w:val="clear" w:color="auto" w:fill="auto"/>
            <w:tcMar>
              <w:top w:w="100" w:type="dxa"/>
              <w:left w:w="100" w:type="dxa"/>
              <w:bottom w:w="100" w:type="dxa"/>
              <w:right w:w="100" w:type="dxa"/>
            </w:tcMar>
          </w:tcPr>
          <w:p w14:paraId="6B55BAD4" w14:textId="77777777" w:rsidR="003C6750" w:rsidRPr="00377C87" w:rsidRDefault="003C6750" w:rsidP="00B7130A">
            <w:pPr>
              <w:rPr>
                <w:sz w:val="16"/>
                <w:szCs w:val="16"/>
                <w:lang w:val="nl-BE"/>
              </w:rPr>
            </w:pPr>
            <w:r w:rsidRPr="00377C87">
              <w:rPr>
                <w:sz w:val="16"/>
                <w:szCs w:val="16"/>
                <w:lang w:val="nl-BE"/>
              </w:rPr>
              <w:t>&gt; 6 months</w:t>
            </w:r>
          </w:p>
        </w:tc>
        <w:tc>
          <w:tcPr>
            <w:tcW w:w="1667" w:type="pct"/>
            <w:shd w:val="clear" w:color="auto" w:fill="auto"/>
            <w:tcMar>
              <w:top w:w="100" w:type="dxa"/>
              <w:left w:w="100" w:type="dxa"/>
              <w:bottom w:w="100" w:type="dxa"/>
              <w:right w:w="100" w:type="dxa"/>
            </w:tcMar>
          </w:tcPr>
          <w:p w14:paraId="52ED3DBE" w14:textId="77777777" w:rsidR="003C6750" w:rsidRPr="00377C87" w:rsidRDefault="003C6750" w:rsidP="00B7130A">
            <w:pPr>
              <w:rPr>
                <w:sz w:val="16"/>
                <w:szCs w:val="16"/>
                <w:lang w:val="nl-BE"/>
              </w:rPr>
            </w:pPr>
            <w:r w:rsidRPr="00377C87">
              <w:rPr>
                <w:sz w:val="16"/>
                <w:szCs w:val="16"/>
                <w:lang w:val="nl-BE"/>
              </w:rPr>
              <w:t>Pharmacological, psychological</w:t>
            </w:r>
          </w:p>
        </w:tc>
      </w:tr>
      <w:tr w:rsidR="003C6750" w:rsidRPr="00377C87" w14:paraId="2A8FA2F6" w14:textId="77777777" w:rsidTr="00ED3939">
        <w:trPr>
          <w:trHeight w:val="20"/>
        </w:trPr>
        <w:tc>
          <w:tcPr>
            <w:tcW w:w="1667" w:type="pct"/>
            <w:shd w:val="clear" w:color="auto" w:fill="auto"/>
            <w:tcMar>
              <w:top w:w="100" w:type="dxa"/>
              <w:left w:w="100" w:type="dxa"/>
              <w:bottom w:w="100" w:type="dxa"/>
              <w:right w:w="100" w:type="dxa"/>
            </w:tcMar>
          </w:tcPr>
          <w:p w14:paraId="60D89CE3" w14:textId="77777777" w:rsidR="003C6750" w:rsidRPr="00377C87" w:rsidRDefault="003C6750" w:rsidP="00B7130A">
            <w:pPr>
              <w:rPr>
                <w:sz w:val="16"/>
                <w:szCs w:val="16"/>
                <w:lang w:val="en-US"/>
              </w:rPr>
            </w:pPr>
            <w:r w:rsidRPr="00377C87">
              <w:rPr>
                <w:sz w:val="16"/>
                <w:szCs w:val="16"/>
                <w:lang w:val="en-US"/>
              </w:rPr>
              <w:t>Local anesthesia, trauma, orthognathic surgery</w:t>
            </w:r>
          </w:p>
        </w:tc>
        <w:tc>
          <w:tcPr>
            <w:tcW w:w="1667" w:type="pct"/>
            <w:shd w:val="clear" w:color="auto" w:fill="auto"/>
            <w:tcMar>
              <w:top w:w="100" w:type="dxa"/>
              <w:left w:w="100" w:type="dxa"/>
              <w:bottom w:w="100" w:type="dxa"/>
              <w:right w:w="100" w:type="dxa"/>
            </w:tcMar>
          </w:tcPr>
          <w:p w14:paraId="710794CB" w14:textId="77777777" w:rsidR="003C6750" w:rsidRPr="00377C87" w:rsidRDefault="003C6750" w:rsidP="00B7130A">
            <w:pPr>
              <w:rPr>
                <w:sz w:val="16"/>
                <w:szCs w:val="16"/>
                <w:lang w:val="en-US"/>
              </w:rPr>
            </w:pPr>
            <w:r w:rsidRPr="00377C87">
              <w:rPr>
                <w:sz w:val="16"/>
                <w:szCs w:val="16"/>
                <w:lang w:val="nl-BE"/>
              </w:rPr>
              <w:t>&gt; 6 months</w:t>
            </w:r>
          </w:p>
        </w:tc>
        <w:tc>
          <w:tcPr>
            <w:tcW w:w="1667" w:type="pct"/>
            <w:shd w:val="clear" w:color="auto" w:fill="auto"/>
            <w:tcMar>
              <w:top w:w="100" w:type="dxa"/>
              <w:left w:w="100" w:type="dxa"/>
              <w:bottom w:w="100" w:type="dxa"/>
              <w:right w:w="100" w:type="dxa"/>
            </w:tcMar>
          </w:tcPr>
          <w:p w14:paraId="4AE411E7" w14:textId="77777777" w:rsidR="003C6750" w:rsidRPr="00377C87" w:rsidRDefault="003C6750" w:rsidP="00B7130A">
            <w:pPr>
              <w:rPr>
                <w:sz w:val="16"/>
                <w:szCs w:val="16"/>
                <w:lang w:val="nl-BE"/>
              </w:rPr>
            </w:pPr>
            <w:r w:rsidRPr="00377C87">
              <w:rPr>
                <w:sz w:val="16"/>
                <w:szCs w:val="16"/>
                <w:lang w:val="nl-BE"/>
              </w:rPr>
              <w:t>Pharmacological, psychological</w:t>
            </w:r>
          </w:p>
        </w:tc>
      </w:tr>
    </w:tbl>
    <w:p w14:paraId="636B7B40" w14:textId="77777777" w:rsidR="003C6750" w:rsidRPr="006C35DF" w:rsidRDefault="003C6750" w:rsidP="003C6750">
      <w:pPr>
        <w:jc w:val="both"/>
        <w:rPr>
          <w:rFonts w:cstheme="minorHAnsi"/>
          <w:bCs/>
        </w:rPr>
      </w:pPr>
    </w:p>
    <w:p w14:paraId="40010B0A" w14:textId="77777777" w:rsidR="00731BF9" w:rsidRDefault="00731BF9" w:rsidP="00731BF9">
      <w:pPr>
        <w:pStyle w:val="Kop2"/>
      </w:pPr>
      <w:r>
        <w:t xml:space="preserve">Pharmacological treatment </w:t>
      </w:r>
    </w:p>
    <w:p w14:paraId="78717E85" w14:textId="1E4B0B66" w:rsidR="003C6750" w:rsidRPr="006C35DF" w:rsidRDefault="007208FE" w:rsidP="003C6750">
      <w:pPr>
        <w:jc w:val="both"/>
        <w:rPr>
          <w:rFonts w:cstheme="minorHAnsi"/>
        </w:rPr>
      </w:pPr>
      <w:r>
        <w:rPr>
          <w:rFonts w:cstheme="minorHAnsi"/>
          <w:bCs/>
        </w:rPr>
        <w:t xml:space="preserve">Pharmacological treatment </w:t>
      </w:r>
      <w:r w:rsidR="003C6750" w:rsidRPr="006C35DF">
        <w:rPr>
          <w:rFonts w:cstheme="minorHAnsi"/>
          <w:bCs/>
        </w:rPr>
        <w:t xml:space="preserve">is indicated for patients with pain or discomfort or with anxiety and or depression in relation with chronic pain. However, due to the multiple noxious side effects of chronic pain medication, &lt;18% of patients remain adherent with medication </w:t>
      </w:r>
      <w:r w:rsidR="003C6750" w:rsidRPr="006C35DF">
        <w:rPr>
          <w:rFonts w:cstheme="minorHAnsi"/>
          <w:bCs/>
        </w:rPr>
        <w:fldChar w:fldCharType="begin" w:fldLock="1"/>
      </w:r>
      <w:r w:rsidR="003C6750" w:rsidRPr="006C35DF">
        <w:rPr>
          <w:rFonts w:cstheme="minorHAnsi"/>
          <w:bCs/>
        </w:rPr>
        <w:instrText>ADDIN CSL_CITATION {"citationItems":[{"id":"ITEM-1","itemData":{"DOI":"10.1016/S1474-4422(14)70251-0","ISBN":"6314442508","ISSN":"14744465","PMID":"25575710","abstract":"Background: New drug treatments, clinical trials, and standards of quality for assessment of evidence justify an update of evidence-based recommendations for the pharmacological treatment of neuropathic pain. Using the Grading of Recommendations Assessment, Development, and Evaluation (GRADE), we revised the Special Interest Group on Neuropathic Pain (NeuPSIG) recommendations for the pharmacotherapy of neuropathic pain based on the results of a systematic review and meta-analysis. Methods: Between April, 2013, and January, 2014, NeuPSIG of the International Association for the Study of Pain did a systematic review and meta-analysis of randomised, double-blind studies of oral and topical pharmacotherapy for neuropathic pain, including studies published in peer-reviewed journals since January, 1966, and unpublished trials retrieved from ClinicalTrials.gov and websites of pharmaceutical companies. We used number needed to treat (NNT) for 50% pain relief as a primary measure and assessed publication bias; NNT was calculated with the fixed-effects Mantel-Haenszel method. Findings: 229 studies were included in the meta-analysis. Analysis of publication bias suggested a 10% overstatement of treatment effects. Studies published in peer-reviewed journals reported greater effects than did unpublished studies (r2 9·3%, p=0·009). Trial outcomes were generally modest: in particular, combined NNTs were 6·4 (95% CI 5·2-8·4) for serotonin-noradrenaline reuptake inhibitors, mainly including duloxetine (nine of 14 studies); 7·7 (6·5-9·4) for pregabalin; 7·2 (5·9-9·21) for gabapentin, including gabapentin extended release and enacarbil; and 10·6 (7·4-19·0) for capsaicin high-concentration patches. NNTs were lower for tricyclic antidepressants, strong opioids, tramadol, and botulinum toxin A, and undetermined for lidocaine patches. Based on GRADE, final quality of evidence was moderate or high for all treatments apart from lidocaine patches; tolerability and safety, and values and preferences were higher for topical drugs; and cost was lower for tricyclic antidepressants and tramadol. These findings permitted a strong recommendation for use and proposal as first-line treatment in neuropathic pain for tricyclic antidepressants, serotonin-noradrenaline reuptake inhibitors, pregabalin, and gabapentin; a weak recommendation for use and proposal as second line for lidocaine patches, capsaicin high-concentration patches, and tramadol; and a weak recommendation for use and propos…","author":[{"dropping-particle":"","family":"Finnerup","given":"Nanna B.","non-dropping-particle":"","parse-names":false,"suffix":""},{"dropping-particle":"","family":"Attal","given":"Nadine","non-dropping-particle":"","parse-names":false,"suffix":""},{"dropping-particle":"","family":"Haroutounian","given":"Simon","non-dropping-particle":"","parse-names":false,"suffix":""},{"dropping-particle":"","family":"McNicol","given":"Ewan","non-dropping-particle":"","parse-names":false,"suffix":""},{"dropping-particle":"","family":"Baron","given":"Ralf","non-dropping-particle":"","parse-names":false,"suffix":""},{"dropping-particle":"","family":"Dworkin","given":"Robert H.","non-dropping-particle":"","parse-names":false,"suffix":""},{"dropping-particle":"","family":"Gilron","given":"Ian","non-dropping-particle":"","parse-names":false,"suffix":""},{"dropping-particle":"","family":"Haanpää","given":"Maija","non-dropping-particle":"","parse-names":false,"suffix":""},{"dropping-particle":"","family":"Hansson","given":"Per","non-dropping-particle":"","parse-names":false,"suffix":""},{"dropping-particle":"","family":"Jensen","given":"Troels S.","non-dropping-particle":"","parse-names":false,"suffix":""},{"dropping-particle":"","family":"Kamerman","given":"Peter R.","non-dropping-particle":"","parse-names":false,"suffix":""},{"dropping-particle":"","family":"Lund","given":"Karen","non-dropping-particle":"","parse-names":false,"suffix":""},{"dropping-particle":"","family":"Moore","given":"Andrew","non-dropping-particle":"","parse-names":false,"suffix":""},{"dropping-particle":"","family":"Raja","given":"Srinivasa N.","non-dropping-particle":"","parse-names":false,"suffix":""},{"dropping-particle":"","family":"Rice","given":"Andrew S.C.","non-dropping-particle":"","parse-names":false,"suffix":""},{"dropping-particle":"","family":"Rowbotham","given":"Michael","non-dropping-particle":"","parse-names":false,"suffix":""},{"dropping-particle":"","family":"Sena","given":"Emily","non-dropping-particle":"","parse-names":false,"suffix":""},{"dropping-particle":"","family":"Siddall","given":"Philip","non-dropping-particle":"","parse-names":false,"suffix":""},{"dropping-particle":"","family":"Smith","given":"Blair H.","non-dropping-particle":"","parse-names":false,"suffix":""},{"dropping-particle":"","family":"Wallace","given":"Mark","non-dropping-particle":"","parse-names":false,"suffix":""}],"container-title":"The Lancet Neurology","id":"ITEM-1","issue":"2","issued":{"date-parts":[["2015"]]},"page":"162-173","title":"Pharmacotherapy for neuropathic pain in adults: A systematic review and meta-analysis","type":"article-journal","volume":"14"},"uris":["http://www.mendeley.com/documents/?uuid=1a71ef43-8afd-4d5f-9bce-2611f6038395"]}],"mendeley":{"formattedCitation":"(Finnerup et al., 2015)","plainTextFormattedCitation":"(Finnerup et al., 2015)","previouslyFormattedCitation":"(Finnerup et al., 2015)"},"properties":{"noteIndex":0},"schema":"https://github.com/citation-style-language/schema/raw/master/csl-citation.json"}</w:instrText>
      </w:r>
      <w:r w:rsidR="003C6750" w:rsidRPr="006C35DF">
        <w:rPr>
          <w:rFonts w:cstheme="minorHAnsi"/>
          <w:bCs/>
        </w:rPr>
        <w:fldChar w:fldCharType="separate"/>
      </w:r>
      <w:r w:rsidR="003C6750" w:rsidRPr="006C35DF">
        <w:rPr>
          <w:rFonts w:cstheme="minorHAnsi"/>
          <w:bCs/>
          <w:noProof/>
        </w:rPr>
        <w:t>(Finnerup et al., 2015)</w:t>
      </w:r>
      <w:r w:rsidR="003C6750" w:rsidRPr="006C35DF">
        <w:rPr>
          <w:rFonts w:cstheme="minorHAnsi"/>
          <w:bCs/>
        </w:rPr>
        <w:fldChar w:fldCharType="end"/>
      </w:r>
      <w:r w:rsidR="003C6750" w:rsidRPr="006C35DF">
        <w:rPr>
          <w:rFonts w:cstheme="minorHAnsi"/>
          <w:bCs/>
        </w:rPr>
        <w:t>.</w:t>
      </w:r>
    </w:p>
    <w:p w14:paraId="350FAE3A" w14:textId="019E3D67" w:rsidR="003C6750" w:rsidRPr="004F1962" w:rsidRDefault="003C6750" w:rsidP="003C6750">
      <w:pPr>
        <w:pStyle w:val="Kop3"/>
      </w:pPr>
      <w:r w:rsidRPr="004F1962">
        <w:t xml:space="preserve">Systemic </w:t>
      </w:r>
      <w:r w:rsidR="00731BF9">
        <w:t>treatment options</w:t>
      </w:r>
    </w:p>
    <w:p w14:paraId="30929B5B" w14:textId="6D9D5BDC" w:rsidR="003C6750" w:rsidRPr="006C35DF" w:rsidRDefault="003C6750" w:rsidP="003C6750">
      <w:pPr>
        <w:jc w:val="both"/>
        <w:rPr>
          <w:rFonts w:cstheme="minorHAnsi"/>
          <w:bCs/>
        </w:rPr>
      </w:pPr>
      <w:r w:rsidRPr="006C35DF">
        <w:rPr>
          <w:rFonts w:cstheme="minorHAnsi"/>
          <w:bCs/>
        </w:rPr>
        <w:t xml:space="preserve">The mainstay of neuropathic pain pharmacotherapy remains the </w:t>
      </w:r>
      <w:r>
        <w:rPr>
          <w:rFonts w:cstheme="minorHAnsi"/>
          <w:bCs/>
        </w:rPr>
        <w:t>antiepileptic and tricyclic antidepressant drugs</w:t>
      </w:r>
      <w:r w:rsidRPr="006C35DF">
        <w:rPr>
          <w:rFonts w:cstheme="minorHAnsi"/>
          <w:bCs/>
        </w:rPr>
        <w:t xml:space="preserve"> with widely accepted protocols </w:t>
      </w:r>
      <w:r w:rsidRPr="006C35DF">
        <w:rPr>
          <w:rFonts w:cstheme="minorHAnsi"/>
          <w:bCs/>
        </w:rPr>
        <w:fldChar w:fldCharType="begin" w:fldLock="1"/>
      </w:r>
      <w:r w:rsidRPr="006C35DF">
        <w:rPr>
          <w:rFonts w:cstheme="minorHAnsi"/>
          <w:bCs/>
        </w:rPr>
        <w:instrText>ADDIN CSL_CITATION {"citationItems":[{"id":"ITEM-1","itemData":{"DOI":"10.1016/S1474-4422(14)70251-0","ISBN":"6314442508","ISSN":"14744465","PMID":"25575710","abstract":"Background: New drug treatments, clinical trials, and standards of quality for assessment of evidence justify an update of evidence-based recommendations for the pharmacological treatment of neuropathic pain. Using the Grading of Recommendations Assessment, Development, and Evaluation (GRADE), we revised the Special Interest Group on Neuropathic Pain (NeuPSIG) recommendations for the pharmacotherapy of neuropathic pain based on the results of a systematic review and meta-analysis. Methods: Between April, 2013, and January, 2014, NeuPSIG of the International Association for the Study of Pain did a systematic review and meta-analysis of randomised, double-blind studies of oral and topical pharmacotherapy for neuropathic pain, including studies published in peer-reviewed journals since January, 1966, and unpublished trials retrieved from ClinicalTrials.gov and websites of pharmaceutical companies. We used number needed to treat (NNT) for 50% pain relief as a primary measure and assessed publication bias; NNT was calculated with the fixed-effects Mantel-Haenszel method. Findings: 229 studies were included in the meta-analysis. Analysis of publication bias suggested a 10% overstatement of treatment effects. Studies published in peer-reviewed journals reported greater effects than did unpublished studies (r2 9·3%, p=0·009). Trial outcomes were generally modest: in particular, combined NNTs were 6·4 (95% CI 5·2-8·4) for serotonin-noradrenaline reuptake inhibitors, mainly including duloxetine (nine of 14 studies); 7·7 (6·5-9·4) for pregabalin; 7·2 (5·9-9·21) for gabapentin, including gabapentin extended release and enacarbil; and 10·6 (7·4-19·0) for capsaicin high-concentration patches. NNTs were lower for tricyclic antidepressants, strong opioids, tramadol, and botulinum toxin A, and undetermined for lidocaine patches. Based on GRADE, final quality of evidence was moderate or high for all treatments apart from lidocaine patches; tolerability and safety, and values and preferences were higher for topical drugs; and cost was lower for tricyclic antidepressants and tramadol. These findings permitted a strong recommendation for use and proposal as first-line treatment in neuropathic pain for tricyclic antidepressants, serotonin-noradrenaline reuptake inhibitors, pregabalin, and gabapentin; a weak recommendation for use and proposal as second line for lidocaine patches, capsaicin high-concentration patches, and tramadol; and a weak recommendation for use and propos…","author":[{"dropping-particle":"","family":"Finnerup","given":"Nanna B.","non-dropping-particle":"","parse-names":false,"suffix":""},{"dropping-particle":"","family":"Attal","given":"Nadine","non-dropping-particle":"","parse-names":false,"suffix":""},{"dropping-particle":"","family":"Haroutounian","given":"Simon","non-dropping-particle":"","parse-names":false,"suffix":""},{"dropping-particle":"","family":"McNicol","given":"Ewan","non-dropping-particle":"","parse-names":false,"suffix":""},{"dropping-particle":"","family":"Baron","given":"Ralf","non-dropping-particle":"","parse-names":false,"suffix":""},{"dropping-particle":"","family":"Dworkin","given":"Robert H.","non-dropping-particle":"","parse-names":false,"suffix":""},{"dropping-particle":"","family":"Gilron","given":"Ian","non-dropping-particle":"","parse-names":false,"suffix":""},{"dropping-particle":"","family":"Haanpää","given":"Maija","non-dropping-particle":"","parse-names":false,"suffix":""},{"dropping-particle":"","family":"Hansson","given":"Per","non-dropping-particle":"","parse-names":false,"suffix":""},{"dropping-particle":"","family":"Jensen","given":"Troels S.","non-dropping-particle":"","parse-names":false,"suffix":""},{"dropping-particle":"","family":"Kamerman","given":"Peter R.","non-dropping-particle":"","parse-names":false,"suffix":""},{"dropping-particle":"","family":"Lund","given":"Karen","non-dropping-particle":"","parse-names":false,"suffix":""},{"dropping-particle":"","family":"Moore","given":"Andrew","non-dropping-particle":"","parse-names":false,"suffix":""},{"dropping-particle":"","family":"Raja","given":"Srinivasa N.","non-dropping-particle":"","parse-names":false,"suffix":""},{"dropping-particle":"","family":"Rice","given":"Andrew S.C.","non-dropping-particle":"","parse-names":false,"suffix":""},{"dropping-particle":"","family":"Rowbotham","given":"Michael","non-dropping-particle":"","parse-names":false,"suffix":""},{"dropping-particle":"","family":"Sena","given":"Emily","non-dropping-particle":"","parse-names":false,"suffix":""},{"dropping-particle":"","family":"Siddall","given":"Philip","non-dropping-particle":"","parse-names":false,"suffix":""},{"dropping-particle":"","family":"Smith","given":"Blair H.","non-dropping-particle":"","parse-names":false,"suffix":""},{"dropping-particle":"","family":"Wallace","given":"Mark","non-dropping-particle":"","parse-names":false,"suffix":""}],"container-title":"The Lancet Neurology","id":"ITEM-1","issue":"2","issued":{"date-parts":[["2015"]]},"page":"162-173","title":"Pharmacotherapy for neuropathic pain in adults: A systematic review and meta-analysis","type":"article-journal","volume":"14"},"uris":["http://www.mendeley.com/documents/?uuid=1a71ef43-8afd-4d5f-9bce-2611f6038395"]}],"mendeley":{"formattedCitation":"(Finnerup et al., 2015)","plainTextFormattedCitation":"(Finnerup et al., 2015)","previouslyFormattedCitation":"(Finnerup et al., 2015)"},"properties":{"noteIndex":0},"schema":"https://github.com/citation-style-language/schema/raw/master/csl-citation.json"}</w:instrText>
      </w:r>
      <w:r w:rsidRPr="006C35DF">
        <w:rPr>
          <w:rFonts w:cstheme="minorHAnsi"/>
          <w:bCs/>
        </w:rPr>
        <w:fldChar w:fldCharType="separate"/>
      </w:r>
      <w:r w:rsidRPr="006C35DF">
        <w:rPr>
          <w:rFonts w:cstheme="minorHAnsi"/>
          <w:bCs/>
          <w:noProof/>
          <w:lang w:val="en-US"/>
        </w:rPr>
        <w:t>(Finnerup et al., 2015)</w:t>
      </w:r>
      <w:r w:rsidRPr="006C35DF">
        <w:rPr>
          <w:rFonts w:cstheme="minorHAnsi"/>
          <w:bCs/>
        </w:rPr>
        <w:fldChar w:fldCharType="end"/>
      </w:r>
      <w:r w:rsidRPr="006C35DF">
        <w:rPr>
          <w:rFonts w:cstheme="minorHAnsi"/>
          <w:bCs/>
          <w:lang w:val="en-US"/>
        </w:rPr>
        <w:t xml:space="preserve">. </w:t>
      </w:r>
      <w:r w:rsidRPr="006C35DF">
        <w:rPr>
          <w:rFonts w:cstheme="minorHAnsi"/>
          <w:bCs/>
        </w:rPr>
        <w:t>Treatment of chronic neuropathies often requires long-term prescription medications that have signiﬁcant side eﬀects. The use of nonsteroidal analgesics and opioids is particularly common, on the other hand antiepileptic drugs and tricyclic antidepressants</w:t>
      </w:r>
      <w:r>
        <w:rPr>
          <w:rFonts w:cstheme="minorHAnsi"/>
          <w:bCs/>
        </w:rPr>
        <w:t xml:space="preserve"> </w:t>
      </w:r>
      <w:r w:rsidRPr="006C35DF">
        <w:rPr>
          <w:rFonts w:cstheme="minorHAnsi"/>
          <w:bCs/>
        </w:rPr>
        <w:t xml:space="preserve">are relatively uncommon </w:t>
      </w:r>
      <w:r w:rsidRPr="006C35DF">
        <w:rPr>
          <w:rFonts w:cstheme="minorHAnsi"/>
          <w:bCs/>
        </w:rPr>
        <w:fldChar w:fldCharType="begin" w:fldLock="1"/>
      </w:r>
      <w:r w:rsidRPr="006C35DF">
        <w:rPr>
          <w:rFonts w:cstheme="minorHAnsi"/>
          <w:bCs/>
        </w:rPr>
        <w:instrText>ADDIN CSL_CITATION {"citationItems":[{"id":"ITEM-1","itemData":{"DOI":"10.1016/j.ejpain.2005.01.014","ISSN":"1090-3801 (Print)","PMID":"16310716","abstract":"BACKGROUND: There are few published data on the treatment patterns and burden of  neuropathic pain. We have investigated this in a large, observational, cross-sectional survey. METHODS: We surveyed 602 patients with neuropathic pain recruited from general practitioners in six European countries. Physicians recorded demographic and treatment information, including prescription medications. Patients completed Brief Pain Inventory (BPI) severity and interference questions, the EuroQol (EQ-5D), and questions about their productivity, non-prescription treatments, and frequency of physician visits. The BPI Pain Severity score (range: 0-10) is the mean of worst, least, average, and current pain ratings, with scores of 4-6 and 7-10 considered moderate and severe, respectively. We evaluated the impact of pain severity on functioning using analysis of variance models and chi2 tests. RESULTS: Mean (SD) age was 62.9 (14.4) years (50% female). Most patients reported moderate (54%) or severe (25%) pain. Nearly all patients (93%) were prescribed medications for their neuropathic pain: analgesics (71%); anti-epileptics (51%); antidepressants (29%); sedatives/hypnotics (15%). Seventy-six percent visited their physician at least once in the past month. Employment status was affected in 43% of patients; those employed missed a mean (SD) of 5.5 (9.8) workdays during the past month. Pain severity was associated significantly (P&lt;0.001) with poorer EQ-5D scores (mild=0.67, moderate=0.46, severe=0.16), greater disruption of employment status (mild=24%, moderate=48%, severe=54%), and more frequent physician visits (% with one or more visits: mild=66%, moderate=79%, severe=83%). CONCLUSIONS: Patients with neuropathic pain visit their physician frequently and report substantial pain that interferes with daily functioning despite receiving treatment.","author":[{"dropping-particle":"","family":"McDermott","given":"Anne M","non-dropping-particle":"","parse-names":false,"suffix":""},{"dropping-particle":"","family":"Toelle","given":"Thomas R","non-dropping-particle":"","parse-names":false,"suffix":""},{"dropping-particle":"","family":"Rowbotham","given":"David J","non-dropping-particle":"","parse-names":false,"suffix":""},{"dropping-particle":"","family":"Schaefer","given":"Caroline P","non-dropping-particle":"","parse-names":false,"suffix":""},{"dropping-particle":"","family":"Dukes","given":"Ellen M","non-dropping-particle":"","parse-names":false,"suffix":""}],"container-title":"European journal of pain (London, England)","id":"ITEM-1","issue":"2","issued":{"date-parts":[["2006","2"]]},"language":"eng","page":"127-135","publisher-place":"England","title":"The burden of neuropathic pain: results from a cross-sectional survey.","type":"article-journal","volume":"10"},"uris":["http://www.mendeley.com/documents/?uuid=2cc5fb1b-893c-40ab-a387-7e90636cb5a5"]}],"mendeley":{"formattedCitation":"(McDermott et al., 2006)","plainTextFormattedCitation":"(McDermott et al., 2006)","previouslyFormattedCitation":"(McDermott et al., 2006)"},"properties":{"noteIndex":0},"schema":"https://github.com/citation-style-language/schema/raw/master/csl-citation.json"}</w:instrText>
      </w:r>
      <w:r w:rsidRPr="006C35DF">
        <w:rPr>
          <w:rFonts w:cstheme="minorHAnsi"/>
          <w:bCs/>
        </w:rPr>
        <w:fldChar w:fldCharType="separate"/>
      </w:r>
      <w:r w:rsidRPr="006C35DF">
        <w:rPr>
          <w:rFonts w:cstheme="minorHAnsi"/>
          <w:bCs/>
          <w:noProof/>
        </w:rPr>
        <w:t>(McDermott et al., 2006)</w:t>
      </w:r>
      <w:r w:rsidRPr="006C35DF">
        <w:rPr>
          <w:rFonts w:cstheme="minorHAnsi"/>
          <w:bCs/>
        </w:rPr>
        <w:fldChar w:fldCharType="end"/>
      </w:r>
      <w:r w:rsidRPr="006C35DF">
        <w:rPr>
          <w:rFonts w:cstheme="minorHAnsi"/>
          <w:bCs/>
        </w:rPr>
        <w:t xml:space="preserve">. This is surprising in view of the higher eﬀectiveness of </w:t>
      </w:r>
      <w:r>
        <w:rPr>
          <w:rFonts w:cstheme="minorHAnsi"/>
          <w:bCs/>
        </w:rPr>
        <w:t>these drugs in neuropathic pain</w:t>
      </w:r>
      <w:r w:rsidRPr="006C35DF">
        <w:rPr>
          <w:rFonts w:cstheme="minorHAnsi"/>
          <w:bCs/>
        </w:rPr>
        <w:t xml:space="preserve"> and suggests that patients may not be seeking treatment or are inadequately managed. It is not unusual for patients to switch over to alternative medicine, and many report the use of vitamins and supplements </w:t>
      </w:r>
      <w:r w:rsidRPr="006C35DF">
        <w:rPr>
          <w:rFonts w:cstheme="minorHAnsi"/>
          <w:bCs/>
        </w:rPr>
        <w:fldChar w:fldCharType="begin" w:fldLock="1"/>
      </w:r>
      <w:r w:rsidRPr="006C35DF">
        <w:rPr>
          <w:rFonts w:cstheme="minorHAnsi"/>
          <w:bCs/>
        </w:rPr>
        <w:instrText>ADDIN CSL_CITATION {"citationItems":[{"id":"ITEM-1","itemData":{"DOI":"10.1016/j.ejpain.2005.01.014","ISSN":"1090-3801 (Print)","PMID":"16310716","abstract":"BACKGROUND: There are few published data on the treatment patterns and burden of  neuropathic pain. We have investigated this in a large, observational, cross-sectional survey. METHODS: We surveyed 602 patients with neuropathic pain recruited from general practitioners in six European countries. Physicians recorded demographic and treatment information, including prescription medications. Patients completed Brief Pain Inventory (BPI) severity and interference questions, the EuroQol (EQ-5D), and questions about their productivity, non-prescription treatments, and frequency of physician visits. The BPI Pain Severity score (range: 0-10) is the mean of worst, least, average, and current pain ratings, with scores of 4-6 and 7-10 considered moderate and severe, respectively. We evaluated the impact of pain severity on functioning using analysis of variance models and chi2 tests. RESULTS: Mean (SD) age was 62.9 (14.4) years (50% female). Most patients reported moderate (54%) or severe (25%) pain. Nearly all patients (93%) were prescribed medications for their neuropathic pain: analgesics (71%); anti-epileptics (51%); antidepressants (29%); sedatives/hypnotics (15%). Seventy-six percent visited their physician at least once in the past month. Employment status was affected in 43% of patients; those employed missed a mean (SD) of 5.5 (9.8) workdays during the past month. Pain severity was associated significantly (P&lt;0.001) with poorer EQ-5D scores (mild=0.67, moderate=0.46, severe=0.16), greater disruption of employment status (mild=24%, moderate=48%, severe=54%), and more frequent physician visits (% with one or more visits: mild=66%, moderate=79%, severe=83%). CONCLUSIONS: Patients with neuropathic pain visit their physician frequently and report substantial pain that interferes with daily functioning despite receiving treatment.","author":[{"dropping-particle":"","family":"McDermott","given":"Anne M","non-dropping-particle":"","parse-names":false,"suffix":""},{"dropping-particle":"","family":"Toelle","given":"Thomas R","non-dropping-particle":"","parse-names":false,"suffix":""},{"dropping-particle":"","family":"Rowbotham","given":"David J","non-dropping-particle":"","parse-names":false,"suffix":""},{"dropping-particle":"","family":"Schaefer","given":"Caroline P","non-dropping-particle":"","parse-names":false,"suffix":""},{"dropping-particle":"","family":"Dukes","given":"Ellen M","non-dropping-particle":"","parse-names":false,"suffix":""}],"container-title":"European journal of pain (London, England)","id":"ITEM-1","issue":"2","issued":{"date-parts":[["2006","2"]]},"language":"eng","page":"127-135","publisher-place":"England","title":"The burden of neuropathic pain: results from a cross-sectional survey.","type":"article-journal","volume":"10"},"uris":["http://www.mendeley.com/documents/?uuid=2cc5fb1b-893c-40ab-a387-7e90636cb5a5"]}],"mendeley":{"formattedCitation":"(McDermott et al., 2006)","plainTextFormattedCitation":"(McDermott et al., 2006)","previouslyFormattedCitation":"(McDermott et al., 2006)"},"properties":{"noteIndex":0},"schema":"https://github.com/citation-style-language/schema/raw/master/csl-citation.json"}</w:instrText>
      </w:r>
      <w:r w:rsidRPr="006C35DF">
        <w:rPr>
          <w:rFonts w:cstheme="minorHAnsi"/>
          <w:bCs/>
        </w:rPr>
        <w:fldChar w:fldCharType="separate"/>
      </w:r>
      <w:r w:rsidRPr="006C35DF">
        <w:rPr>
          <w:rFonts w:cstheme="minorHAnsi"/>
          <w:bCs/>
          <w:noProof/>
        </w:rPr>
        <w:t>(McDermott et al., 2006)</w:t>
      </w:r>
      <w:r w:rsidRPr="006C35DF">
        <w:rPr>
          <w:rFonts w:cstheme="minorHAnsi"/>
          <w:bCs/>
        </w:rPr>
        <w:fldChar w:fldCharType="end"/>
      </w:r>
      <w:r w:rsidRPr="006C35DF">
        <w:rPr>
          <w:rFonts w:cstheme="minorHAnsi"/>
          <w:bCs/>
        </w:rPr>
        <w:t>.</w:t>
      </w:r>
    </w:p>
    <w:tbl>
      <w:tblPr>
        <w:tblStyle w:val="Tabelraster"/>
        <w:tblW w:w="0" w:type="auto"/>
        <w:tblLook w:val="04A0" w:firstRow="1" w:lastRow="0" w:firstColumn="1" w:lastColumn="0" w:noHBand="0" w:noVBand="1"/>
      </w:tblPr>
      <w:tblGrid>
        <w:gridCol w:w="9016"/>
      </w:tblGrid>
      <w:tr w:rsidR="003C6750" w:rsidRPr="004F1BF5" w14:paraId="00AD3F7C" w14:textId="77777777" w:rsidTr="00B7130A">
        <w:tc>
          <w:tcPr>
            <w:tcW w:w="9016" w:type="dxa"/>
          </w:tcPr>
          <w:p w14:paraId="035EC30F" w14:textId="77777777" w:rsidR="003C6750" w:rsidRPr="004F1BF5" w:rsidRDefault="003C6750" w:rsidP="00B7130A">
            <w:pPr>
              <w:jc w:val="both"/>
              <w:rPr>
                <w:rFonts w:asciiTheme="minorHAnsi" w:hAnsiTheme="minorHAnsi" w:cstheme="minorHAnsi"/>
                <w:b/>
                <w:szCs w:val="18"/>
              </w:rPr>
            </w:pPr>
            <w:r w:rsidRPr="004F1BF5">
              <w:rPr>
                <w:rFonts w:asciiTheme="minorHAnsi" w:hAnsiTheme="minorHAnsi" w:cstheme="minorHAnsi"/>
                <w:b/>
                <w:szCs w:val="18"/>
              </w:rPr>
              <w:t>National institute clinical excellence (NICE) recommendations for prescribing for adult neuropathic pain (2016).</w:t>
            </w:r>
          </w:p>
          <w:p w14:paraId="656DD77C" w14:textId="77777777" w:rsidR="003C6750" w:rsidRPr="004F1BF5" w:rsidRDefault="003C6750" w:rsidP="00B7130A">
            <w:pPr>
              <w:jc w:val="both"/>
              <w:rPr>
                <w:rFonts w:asciiTheme="minorHAnsi" w:hAnsiTheme="minorHAnsi" w:cstheme="minorHAnsi"/>
                <w:bCs/>
                <w:szCs w:val="18"/>
              </w:rPr>
            </w:pPr>
            <w:r w:rsidRPr="004F1BF5">
              <w:rPr>
                <w:rFonts w:asciiTheme="minorHAnsi" w:hAnsiTheme="minorHAnsi" w:cstheme="minorHAnsi"/>
                <w:bCs/>
                <w:szCs w:val="18"/>
              </w:rPr>
              <w:t>All neuropathic pain (except trigeminal neuralgia):</w:t>
            </w:r>
          </w:p>
          <w:p w14:paraId="41F0A35D" w14:textId="77777777" w:rsidR="003C6750" w:rsidRPr="004F1BF5" w:rsidRDefault="003C6750" w:rsidP="003C6750">
            <w:pPr>
              <w:pStyle w:val="Lijstalinea"/>
              <w:numPr>
                <w:ilvl w:val="0"/>
                <w:numId w:val="7"/>
              </w:numPr>
              <w:jc w:val="both"/>
              <w:rPr>
                <w:rFonts w:asciiTheme="minorHAnsi" w:eastAsia="MS Mincho" w:hAnsiTheme="minorHAnsi" w:cstheme="minorHAnsi"/>
                <w:bCs/>
                <w:sz w:val="18"/>
                <w:szCs w:val="18"/>
              </w:rPr>
            </w:pPr>
            <w:r w:rsidRPr="004F1BF5">
              <w:rPr>
                <w:rFonts w:asciiTheme="minorHAnsi" w:eastAsia="MS Mincho" w:hAnsiTheme="minorHAnsi" w:cstheme="minorHAnsi"/>
                <w:bCs/>
                <w:sz w:val="18"/>
                <w:szCs w:val="18"/>
              </w:rPr>
              <w:t>Offer a choice of amitriptyline, duloxetine, gabapentin or pregabalin as initial treatment for neuropathic pain (except trigeminal neuralgia)</w:t>
            </w:r>
          </w:p>
          <w:p w14:paraId="47B7EF2A" w14:textId="77777777" w:rsidR="003C6750" w:rsidRPr="004F1BF5" w:rsidRDefault="003C6750" w:rsidP="003C6750">
            <w:pPr>
              <w:pStyle w:val="Lijstalinea"/>
              <w:numPr>
                <w:ilvl w:val="0"/>
                <w:numId w:val="7"/>
              </w:numPr>
              <w:jc w:val="both"/>
              <w:rPr>
                <w:rFonts w:asciiTheme="minorHAnsi" w:eastAsia="MS Mincho" w:hAnsiTheme="minorHAnsi" w:cstheme="minorHAnsi"/>
                <w:bCs/>
                <w:sz w:val="18"/>
                <w:szCs w:val="18"/>
              </w:rPr>
            </w:pPr>
            <w:r w:rsidRPr="004F1BF5">
              <w:rPr>
                <w:rFonts w:asciiTheme="minorHAnsi" w:hAnsiTheme="minorHAnsi" w:cstheme="minorHAnsi"/>
                <w:bCs/>
                <w:sz w:val="18"/>
                <w:szCs w:val="18"/>
              </w:rPr>
              <w:t xml:space="preserve">If the initial treatment is not effective or is not tolerated, offer one of the remaining 3 drugs, and consider switching again if the second and third drugs tried are also not effective or not tolerated. </w:t>
            </w:r>
          </w:p>
          <w:p w14:paraId="765F09ED" w14:textId="77777777" w:rsidR="003C6750" w:rsidRPr="004F1BF5" w:rsidRDefault="003C6750" w:rsidP="003C6750">
            <w:pPr>
              <w:pStyle w:val="Lijstalinea"/>
              <w:numPr>
                <w:ilvl w:val="0"/>
                <w:numId w:val="7"/>
              </w:numPr>
              <w:jc w:val="both"/>
              <w:rPr>
                <w:rFonts w:asciiTheme="minorHAnsi" w:eastAsia="MS Mincho" w:hAnsiTheme="minorHAnsi" w:cstheme="minorHAnsi"/>
                <w:bCs/>
                <w:sz w:val="18"/>
                <w:szCs w:val="18"/>
              </w:rPr>
            </w:pPr>
            <w:r w:rsidRPr="004F1BF5">
              <w:rPr>
                <w:rFonts w:asciiTheme="minorHAnsi" w:hAnsiTheme="minorHAnsi" w:cstheme="minorHAnsi"/>
                <w:bCs/>
                <w:sz w:val="18"/>
                <w:szCs w:val="18"/>
              </w:rPr>
              <w:t>Consider tramadol only if acute rescue therapy is needed</w:t>
            </w:r>
          </w:p>
          <w:p w14:paraId="370CC9FA" w14:textId="77777777" w:rsidR="003C6750" w:rsidRPr="004F1BF5" w:rsidRDefault="003C6750" w:rsidP="003C6750">
            <w:pPr>
              <w:pStyle w:val="Lijstalinea"/>
              <w:numPr>
                <w:ilvl w:val="0"/>
                <w:numId w:val="7"/>
              </w:numPr>
              <w:jc w:val="both"/>
              <w:rPr>
                <w:rFonts w:eastAsia="MS Mincho" w:cstheme="minorHAnsi"/>
                <w:bCs/>
                <w:sz w:val="18"/>
                <w:szCs w:val="18"/>
              </w:rPr>
            </w:pPr>
            <w:r w:rsidRPr="004F1BF5">
              <w:rPr>
                <w:rFonts w:asciiTheme="minorHAnsi" w:hAnsiTheme="minorHAnsi" w:cstheme="minorHAnsi"/>
                <w:bCs/>
                <w:sz w:val="18"/>
                <w:szCs w:val="18"/>
              </w:rPr>
              <w:t>Consider capsaicin cream for people with localised neuropathic pain who wish to avoid, or who cannot tolerate, oral treatments.</w:t>
            </w:r>
          </w:p>
        </w:tc>
      </w:tr>
    </w:tbl>
    <w:p w14:paraId="377257FF" w14:textId="77777777" w:rsidR="00F10A50" w:rsidRDefault="00F10A50" w:rsidP="00F10A50">
      <w:pPr>
        <w:jc w:val="both"/>
        <w:rPr>
          <w:rFonts w:cstheme="minorHAnsi"/>
        </w:rPr>
      </w:pPr>
    </w:p>
    <w:p w14:paraId="626D9BE0" w14:textId="262B5D3A" w:rsidR="00F10A50" w:rsidRPr="009B15D4" w:rsidRDefault="00F10A50" w:rsidP="003C6750">
      <w:pPr>
        <w:jc w:val="both"/>
        <w:rPr>
          <w:rFonts w:cstheme="minorHAnsi"/>
        </w:rPr>
      </w:pPr>
      <w:r w:rsidRPr="006C35DF">
        <w:rPr>
          <w:rFonts w:cstheme="minorHAnsi"/>
        </w:rPr>
        <w:t xml:space="preserve">New drugs targeting novel mechanisms include, subtype selective sodium channel-blocking agents, particularly Nav1.7 antagonists, and EMA401, a novel angiotensin type II antagonist that have been found to be effective in a phase II clinical trial </w:t>
      </w:r>
      <w:r w:rsidRPr="006C35DF">
        <w:rPr>
          <w:rFonts w:cstheme="minorHAnsi"/>
        </w:rPr>
        <w:lastRenderedPageBreak/>
        <w:t xml:space="preserve">in postherpetic neuralgia </w:t>
      </w:r>
      <w:r w:rsidRPr="006C35DF">
        <w:rPr>
          <w:rFonts w:cstheme="minorHAnsi"/>
        </w:rPr>
        <w:fldChar w:fldCharType="begin" w:fldLock="1"/>
      </w:r>
      <w:r w:rsidRPr="006C35DF">
        <w:rPr>
          <w:rFonts w:cstheme="minorHAnsi"/>
        </w:rPr>
        <w:instrText>ADDIN CSL_CITATION {"citationItems":[{"id":"ITEM-1","itemData":{"DOI":"10.1007/s11596-019-2117-0","ISSN":"2523-899X (Electronic)","PMID":"31845216","abstract":"Voltage-gated sodium (Nav) channels are critical players in the generation and  propagation of action potentials by triggering membrane depolarization. Mutations in Nav channels are associated with a variety of channelopathies, which makes them relevant targets for pharmaceutical intervention. So far, the cryoelectron microscopic structure of the human Nav1.2, Nav1.4, and Nav1.7 has been reported, which sheds light on the molecular basis of functional mechanism of Nav channels and provides a path toward structure-based drug discovery. In this review, we focus on the recent advances in the structure, molecular mechanism and modulation of Nav channels, and state updated sodium channel blockers for the treatment of pathophysiology disorders and briefly discuss where the blockers may be developed in the future.","author":[{"dropping-particle":"","family":"Li","given":"Zhi-Mei","non-dropping-particle":"","parse-names":false,"suffix":""},{"dropping-particle":"","family":"Chen","given":"Li-Xia","non-dropping-particle":"","parse-names":false,"suffix":""},{"dropping-particle":"","family":"Li","given":"Hua","non-dropping-particle":"","parse-names":false,"suffix":""}],"container-title":"Current medical science","id":"ITEM-1","issue":"6","issued":{"date-parts":[["2019","12"]]},"language":"eng","page":"863-873","publisher-place":"China","title":"Voltage-gated Sodium Channels and Blockers: An Overview and Where Will They Go?","type":"article-journal","volume":"39"},"uris":["http://www.mendeley.com/documents/?uuid=67f7d374-50e3-45d4-8808-6c4f71989c77"]},{"id":"ITEM-2","itemData":{"DOI":"10.1016/S0140-6736(13)62337-5","ISSN":"1474-547X (Electronic)","PMID":"24507377","abstract":"BACKGROUND: Existing treatments for postherpetic neuralgia, and for neuropathic pain  in general, are limited by modest efficacy and unfavourable side-effects. The angiotensin II type 2 receptor (AT2R) is a new target for neuropathic pain. EMA401, a highly selective AT2R antagonist, is under development as a novel neuropathic pain therapeutic agent. We assessed the therapeutic potential of EMA401 in patients with postherpetic neuralgia. METHODS: In this multicentre, placebo-controlled, double-blind, randomised, phase 2 clinical trial, we enrolled patients (aged 22-89 years) with postherpetic neuralgia of at least 6 months' duration from 29 centres across six countries. We randomly allocated 183 participants to receive either oral EMA401 (100 mg twice daily) or placebo for 28 days. Randomisation was done according to a centralised randomisation schedule, blocked by study site, which was generated by an independent, unmasked statistician. Patients and staff at each site were masked to treatment assignment. We assessed the efficacy, safety, and pharmacokinetics of EMA401. The primary efficacy endpoint was change in mean pain intensity between baseline and the last week of dosing (days 22-28), measured on an 11-point numerical rating scale. The primary efficacy analysis was intention to treat. This trial is registered with the Australian New Zealand Clinical Trials Registry, number ACTRN12611000822987. FINDINGS: 92 patients were assigned to EMA401 and 91 were assigned to placebo. The patients given EMA401 reported significantly less pain compared with baseline values in the final week of treatment than did those given placebo (mean reductions in pain scores -2.29 [SD 1.75] vs -1.60 [1.66]; difference of adjusted least square means -0.69 [SE 0.25]; 95% CI -1.19 to -0.20; p=0.0066). No serious adverse events related to EMA401 occurred. Overall, 32 patients reported 56 treatment-emergent adverse events in the EMA401 group compared with 45 such events reported by 29 patients given placebo. INTERPRETATION: EMA401 (100 mg twice daily) provides superior relief of postherpetic neuralgia compared with placebo at the end of 28 days of treatment. EMA401 was well tolerated by patients. FUNDING: Spinifex Pharmaceuticals.","author":[{"dropping-particle":"","family":"Rice","given":"Andrew S C","non-dropping-particle":"","parse-names":false,"suffix":""},{"dropping-particle":"","family":"Dworkin","given":"Robert H","non-dropping-particle":"","parse-names":false,"suffix":""},{"dropping-particle":"","family":"McCarthy","given":"Tom D","non-dropping-particle":"","parse-names":false,"suffix":""},{"dropping-particle":"","family":"Anand","given":"Praveen","non-dropping-particle":"","parse-names":false,"suffix":""},{"dropping-particle":"","family":"Bountra","given":"Chas","non-dropping-particle":"","parse-names":false,"suffix":""},{"dropping-particle":"","family":"McCloud","given":"Philip I","non-dropping-particle":"","parse-names":false,"suffix":""},{"dropping-particle":"","family":"Hill","given":"Julie","non-dropping-particle":"","parse-names":false,"suffix":""},{"dropping-particle":"","family":"Cutter","given":"Gary","non-dropping-particle":"","parse-names":false,"suffix":""},{"dropping-particle":"","family":"Kitson","given":"Geoff","non-dropping-particle":"","parse-names":false,"suffix":""},{"dropping-particle":"","family":"Desem","given":"Nuket","non-dropping-particle":"","parse-names":false,"suffix":""},{"dropping-particle":"","family":"Raff","given":"Milton","non-dropping-particle":"","parse-names":false,"suffix":""}],"container-title":"Lancet (London, England)","id":"ITEM-2","issue":"9929","issued":{"date-parts":[["2014","5"]]},"language":"eng","page":"1637-1647","publisher-place":"England","title":"EMA401, an orally administered highly selective angiotensin II type 2 receptor  antagonist, as a novel treatment for postherpetic neuralgia: a randomised, double-blind, placebo-controlled phase 2 clinical trial.","type":"article-journal","volume":"383"},"uris":["http://www.mendeley.com/documents/?uuid=32638cb2-55bb-457e-9713-33d4972c010e"]}],"mendeley":{"formattedCitation":"(Li et al., 2019; Rice et al., 2014)","plainTextFormattedCitation":"(Li et al., 2019; Rice et al., 2014)","previouslyFormattedCitation":"(Li et al., 2019; Rice et al., 2014)"},"properties":{"noteIndex":0},"schema":"https://github.com/citation-style-language/schema/raw/master/csl-citation.json"}</w:instrText>
      </w:r>
      <w:r w:rsidRPr="006C35DF">
        <w:rPr>
          <w:rFonts w:cstheme="minorHAnsi"/>
        </w:rPr>
        <w:fldChar w:fldCharType="separate"/>
      </w:r>
      <w:r w:rsidRPr="006C35DF">
        <w:rPr>
          <w:rFonts w:cstheme="minorHAnsi"/>
          <w:noProof/>
        </w:rPr>
        <w:t>(Li et al., 2019; Rice et al., 2014)</w:t>
      </w:r>
      <w:r w:rsidRPr="006C35DF">
        <w:rPr>
          <w:rFonts w:cstheme="minorHAnsi"/>
        </w:rPr>
        <w:fldChar w:fldCharType="end"/>
      </w:r>
      <w:r w:rsidRPr="006C35DF">
        <w:rPr>
          <w:rFonts w:cstheme="minorHAnsi"/>
        </w:rPr>
        <w:t xml:space="preserve">. Although still in the preclinical phase, studies show promising results of stem cell treatment for neuropathic pain </w:t>
      </w:r>
      <w:r w:rsidRPr="006C35DF">
        <w:rPr>
          <w:rFonts w:cstheme="minorHAnsi"/>
        </w:rPr>
        <w:fldChar w:fldCharType="begin" w:fldLock="1"/>
      </w:r>
      <w:r w:rsidRPr="006C35DF">
        <w:rPr>
          <w:rFonts w:cstheme="minorHAnsi"/>
        </w:rPr>
        <w:instrText>ADDIN CSL_CITATION {"citationItems":[{"id":"ITEM-1","itemData":{"DOI":"10.5966/sctm.2012-0122","ISBN":"1418990825","ISSN":"2157-6564","PMID":"23572051","abstract":"Neuropathic pain is a chronic condition that is heterogeneous in nature and has different causes. Different from and more burdensome than nociceptive pain, neuropathic pain more severely affects people's quality of life. Understanding the various mechanisms of the onset and progression of neuropathic pain is important in the development of an effective treatment. Research is being done to replace current pharmacological treatments with cellular therapies that will have longer lasting effects. Stem cells present an exciting potential therapy for neuropathic pain. In this review, we describe the neuroprotective effects of stem cells along with special emphasis on the current translational research using stem cells to treat neuropathic pain.","author":[{"dropping-particle":"","family":"Fortino","given":"Veronica R","non-dropping-particle":"","parse-names":false,"suffix":""},{"dropping-particle":"","family":"Pelaez","given":"Daniel","non-dropping-particle":"","parse-names":false,"suffix":""},{"dropping-particle":"","family":"Cheung","given":"Herman S","non-dropping-particle":"","parse-names":false,"suffix":""}],"container-title":"Stem cells translational medicine","id":"ITEM-1","issue":"5","issued":{"date-parts":[["2013","5"]]},"page":"394-9","title":"Concise review: stem cell therapies for neuropathic pain.","type":"article-journal","volume":"2"},"uris":["http://www.mendeley.com/documents/?uuid=4cc06655-ac88-42b8-8848-7901ebdcb2ca"]}],"mendeley":{"formattedCitation":"(Fortino et al., 2013)","plainTextFormattedCitation":"(Fortino et al., 2013)","previouslyFormattedCitation":"(Fortino et al., 2013)"},"properties":{"noteIndex":0},"schema":"https://github.com/citation-style-language/schema/raw/master/csl-citation.json"}</w:instrText>
      </w:r>
      <w:r w:rsidRPr="006C35DF">
        <w:rPr>
          <w:rFonts w:cstheme="minorHAnsi"/>
        </w:rPr>
        <w:fldChar w:fldCharType="separate"/>
      </w:r>
      <w:r w:rsidRPr="006C35DF">
        <w:rPr>
          <w:rFonts w:cstheme="minorHAnsi"/>
          <w:noProof/>
        </w:rPr>
        <w:t>(Fortino et al., 2013)</w:t>
      </w:r>
      <w:r w:rsidRPr="006C35DF">
        <w:rPr>
          <w:rFonts w:cstheme="minorHAnsi"/>
        </w:rPr>
        <w:fldChar w:fldCharType="end"/>
      </w:r>
      <w:r w:rsidRPr="006C35DF">
        <w:rPr>
          <w:rFonts w:cstheme="minorHAnsi"/>
        </w:rPr>
        <w:t>.</w:t>
      </w:r>
    </w:p>
    <w:p w14:paraId="0AD723EF" w14:textId="730E0359" w:rsidR="003C6750" w:rsidRPr="006C35DF" w:rsidRDefault="00731BF9" w:rsidP="003C6750">
      <w:pPr>
        <w:pStyle w:val="Kop3"/>
      </w:pPr>
      <w:r>
        <w:t>Local treatment options</w:t>
      </w:r>
    </w:p>
    <w:p w14:paraId="7A8A3F61" w14:textId="6B6825AC" w:rsidR="003C6750" w:rsidRPr="006C35DF" w:rsidRDefault="003C6750" w:rsidP="003C6750">
      <w:pPr>
        <w:jc w:val="both"/>
        <w:rPr>
          <w:rFonts w:cstheme="minorHAnsi"/>
          <w:bCs/>
        </w:rPr>
      </w:pPr>
      <w:r w:rsidRPr="006C35DF">
        <w:rPr>
          <w:rFonts w:cstheme="minorHAnsi"/>
          <w:bCs/>
        </w:rPr>
        <w:t xml:space="preserve">Topical application aims to induce a high local concentration of the active drug at the aﬀected site with minimal or no systemic absorption. Drug interactions are reduced, of beneﬁt to patients on multiple drugs or when speciﬁc side eﬀects are problematic. Moreover, local application is easy to use and requires no dose titration commonly needed in systemic therapies </w:t>
      </w:r>
      <w:r w:rsidRPr="006C35DF">
        <w:rPr>
          <w:rFonts w:cstheme="minorHAnsi"/>
          <w:bCs/>
        </w:rPr>
        <w:fldChar w:fldCharType="begin" w:fldLock="1"/>
      </w:r>
      <w:r w:rsidRPr="006C35DF">
        <w:rPr>
          <w:rFonts w:cstheme="minorHAnsi"/>
          <w:bCs/>
        </w:rPr>
        <w:instrText>ADDIN CSL_CITATION {"citationItems":[{"id":"ITEM-1","itemData":{"DOI":"10.1124/pr.55.1.1","ISSN":"0031-6997 (Print)","PMID":"12615951","abstract":"Acute nociceptive, inflammatory, and neuropathic pain all depend to some degree on  the peripheral activation of primary sensory afferent neurons. The localized peripheral administration of drugs, such as by topical application, can potentially optimize drug concentrations at the site of origin of the pain, while leading to lower systemic levels and fewer adverse systemic effects, fewer drug interactions, and no need to titrate doses into a therapeutic range compared with systemic administration. Primary sensory afferent neurons can be activated by a range of inflammatory mediators such as prostanoids, bradykinin, ATP, histamine, and serotonin, and inhibiting their actions represents a strategy for the development of analgesics. Peripheral nerve endings also express a variety of inhibitory neuroreceptors such as opioid, alpha-adrenergic, cholinergic, adenosine and cannabinoid receptors, and agonists for these receptors also represent viable targets for drug development. At present, topical and other forms of peripheral administration of nonsteroidal anti-inflammatory drugs, opioids, capsaicin, local anesthetics, and alpha-adrenoceptor agonists are being used in a variety of clinical states. There also are some clinical data on the use of topical antidepressants and glutamate receptor antagonists. There are preclinical data supporting the potential for development of local formulations of adenosine agonists, cannabinoid agonists, cholinergic ligands, cytokine antagonists, bradykinin antagonists, ATP antagonists, biogenic amine antagonists, neuropeptide antagonists, and agents that alter the availability of nerve growth factor. Given that activation of sensory neurons involves multiple mediators, combinations of agents targeting different mechanisms may be particularly useful. Topical analgesics represent a promising area for future drug development.","author":[{"dropping-particle":"","family":"Sawynok","given":"Jana","non-dropping-particle":"","parse-names":false,"suffix":""}],"container-title":"Pharmacological reviews","id":"ITEM-1","issue":"1","issued":{"date-parts":[["2003","3"]]},"language":"eng","page":"1-20","publisher-place":"United States","title":"Topical and peripherally acting analgesics.","type":"article-journal","volume":"55"},"uris":["http://www.mendeley.com/documents/?uuid=4c1c203e-ac12-4a0a-a751-985c48ed47fd"]}],"mendeley":{"formattedCitation":"(Sawynok, 2003)","plainTextFormattedCitation":"(Sawynok, 2003)","previouslyFormattedCitation":"(Sawynok, 2003)"},"properties":{"noteIndex":0},"schema":"https://github.com/citation-style-language/schema/raw/master/csl-citation.json"}</w:instrText>
      </w:r>
      <w:r w:rsidRPr="006C35DF">
        <w:rPr>
          <w:rFonts w:cstheme="minorHAnsi"/>
          <w:bCs/>
        </w:rPr>
        <w:fldChar w:fldCharType="separate"/>
      </w:r>
      <w:r w:rsidRPr="006C35DF">
        <w:rPr>
          <w:rFonts w:cstheme="minorHAnsi"/>
          <w:bCs/>
          <w:noProof/>
        </w:rPr>
        <w:t>(Sawynok, 2003)</w:t>
      </w:r>
      <w:r w:rsidRPr="006C35DF">
        <w:rPr>
          <w:rFonts w:cstheme="minorHAnsi"/>
          <w:bCs/>
        </w:rPr>
        <w:fldChar w:fldCharType="end"/>
      </w:r>
      <w:r w:rsidRPr="006C35DF">
        <w:rPr>
          <w:rFonts w:cstheme="minorHAnsi"/>
          <w:bCs/>
        </w:rPr>
        <w:t>. Localized reactions such as rash are uncommon, but some topicals (e.g., capsaicin) may induce local pain on application. Intraorally, the use of topical agents is relatively complex and requires either prolonged isolation of the area or the construction of an intra oral appliance that will allow optimal concentrations</w:t>
      </w:r>
    </w:p>
    <w:p w14:paraId="24AE7399" w14:textId="0A50085D" w:rsidR="003C6750" w:rsidRPr="006C35DF" w:rsidRDefault="003C6750" w:rsidP="003C6750">
      <w:pPr>
        <w:jc w:val="both"/>
        <w:rPr>
          <w:rFonts w:cstheme="minorHAnsi"/>
          <w:bCs/>
        </w:rPr>
      </w:pPr>
      <w:r w:rsidRPr="006C35DF">
        <w:rPr>
          <w:rFonts w:cstheme="minorHAnsi"/>
          <w:bCs/>
        </w:rPr>
        <w:t xml:space="preserve">A positive eﬀect has been observed for topical capsaicin in a heterogeneous group of patients with oral </w:t>
      </w:r>
      <w:r w:rsidR="00774748">
        <w:rPr>
          <w:rFonts w:cstheme="minorHAnsi"/>
          <w:bCs/>
        </w:rPr>
        <w:t>neuropathic pain</w:t>
      </w:r>
      <w:r w:rsidRPr="006C35DF">
        <w:rPr>
          <w:rFonts w:cstheme="minorHAnsi"/>
          <w:bCs/>
        </w:rPr>
        <w:t xml:space="preserve"> </w:t>
      </w:r>
      <w:r w:rsidRPr="006C35DF">
        <w:rPr>
          <w:rFonts w:cstheme="minorHAnsi"/>
          <w:bCs/>
        </w:rPr>
        <w:fldChar w:fldCharType="begin" w:fldLock="1"/>
      </w:r>
      <w:r w:rsidRPr="006C35DF">
        <w:rPr>
          <w:rFonts w:cstheme="minorHAnsi"/>
          <w:bCs/>
        </w:rPr>
        <w:instrText>ADDIN CSL_CITATION {"citationItems":[{"id":"ITEM-1","itemData":{"DOI":"10.1007/s11916-006-0004-4","ISSN":"1531-3433","PMID":"30587053","abstract":"INTRODUCTION Atopic dermatitis (AD) is perhaps the most common inflammatory skin disorder worldwide, with an increasing incidence in developed countries. The mainstay treatment for patients with AD is topical therapies, which are used not only by the mild patients but also by the moderate-to-severe patients, in conjunction with systemic treatment. While topical steroids and calcineurin antagonists are widely used, these are associated with long-term cutaneous adverse effects (AEs) or a black box warning, preventing their chronic use. Areas covered: The aim of this review is to provide a comprehensive overview of new and upcoming topical therapies currently in development and undergoing clinical trials, as well as their safety and efficacy profiles, and discuss current topicals used in the management of AD. Expert opinion: AD is a heterogeneous disease with complex pathophysiology. Treatments available to date for AD provide disease control; however, patients struggle to find an optimized therapeutic regimen they may use long term and without severe effects. Novel therapies are currently under investigation, with the hope of shifting the paradigm of AD management from symptom control to disease eradication.","author":[{"dropping-particle":"","family":"Argoff","given":"Charles E.","non-dropping-particle":"","parse-names":false,"suffix":""}],"container-title":"Current Pain and Headache Reports","id":"ITEM-1","issue":"1","issued":{"date-parts":[["2006","1","3"]]},"page":"11-19","title":"Topical agents for the treatment of chronic pain","type":"article-journal","volume":"10"},"uris":["http://www.mendeley.com/documents/?uuid=3ccb510b-ce12-4b1d-b7a0-c4494b7869d5"]}],"mendeley":{"formattedCitation":"(Argoff, 2006)","plainTextFormattedCitation":"(Argoff, 2006)","previouslyFormattedCitation":"(Argoff, 2006)"},"properties":{"noteIndex":0},"schema":"https://github.com/citation-style-language/schema/raw/master/csl-citation.json"}</w:instrText>
      </w:r>
      <w:r w:rsidRPr="006C35DF">
        <w:rPr>
          <w:rFonts w:cstheme="minorHAnsi"/>
          <w:bCs/>
        </w:rPr>
        <w:fldChar w:fldCharType="separate"/>
      </w:r>
      <w:r w:rsidRPr="006C35DF">
        <w:rPr>
          <w:rFonts w:cstheme="minorHAnsi"/>
          <w:bCs/>
          <w:noProof/>
        </w:rPr>
        <w:t>(Argoff, 2006)</w:t>
      </w:r>
      <w:r w:rsidRPr="006C35DF">
        <w:rPr>
          <w:rFonts w:cstheme="minorHAnsi"/>
          <w:bCs/>
        </w:rPr>
        <w:fldChar w:fldCharType="end"/>
      </w:r>
      <w:r w:rsidRPr="006C35DF">
        <w:rPr>
          <w:rFonts w:cstheme="minorHAnsi"/>
          <w:bCs/>
        </w:rPr>
        <w:t xml:space="preserve">. However, in a recent systematic review, it was concluded that although topical capsaicin has only poor to moderate eﬃcacy in the treatment of </w:t>
      </w:r>
      <w:r w:rsidR="00BC209C">
        <w:rPr>
          <w:rFonts w:cstheme="minorHAnsi"/>
          <w:bCs/>
        </w:rPr>
        <w:t>neuropathic pain</w:t>
      </w:r>
      <w:r w:rsidRPr="006C35DF">
        <w:rPr>
          <w:rFonts w:cstheme="minorHAnsi"/>
          <w:bCs/>
        </w:rPr>
        <w:t xml:space="preserve">, it may be useful in some cases resistant to other modes of therapy or as adjunct therapy </w:t>
      </w:r>
      <w:r w:rsidRPr="006C35DF">
        <w:rPr>
          <w:rFonts w:cstheme="minorHAnsi"/>
          <w:bCs/>
        </w:rPr>
        <w:fldChar w:fldCharType="begin" w:fldLock="1"/>
      </w:r>
      <w:r w:rsidRPr="006C35DF">
        <w:rPr>
          <w:rFonts w:cstheme="minorHAnsi"/>
          <w:bCs/>
        </w:rPr>
        <w:instrText>ADDIN CSL_CITATION {"citationItems":[{"id":"ITEM-1","itemData":{"DOI":"10.1136/bmj.38042.506748.EE","ISSN":"1756-1833 (Electronic)","PMID":"15033881","abstract":"OBJECTIVE: To determine the efficacy and safety of topically applied capsaicin for  chronic pain from neuropathic or musculoskeletal disorders. DATA SOURCES: Cochrane Library, Medline, Embase, PubMed, an in-house database, and contact with manufacturers of topical capsaicin. STUDY SELECTION: Randomised controlled trials comparing topically applied capsaicin with placebo or another treatment in adults with chronic pain. DATA EXTRACTION: Primary outcome was dichotomous information for the number of patients with about a 50% reduction in pain. Outcomes were extracted at four weeks for musculoskeletal conditions and eight weeks for neuropathic conditions. Secondary outcomes were adverse events and withdrawals due to adverse events. DATA SYNTHESIS: Six double blind placebo controlled trials (656 patients) were pooled for analysis of neuropathic conditions. The relative benefit from topical capsaicin 0.075% compared with placebo was 1.4 (95% confidence interval 1.2 to 1.7) and the number needed to treat was 5.7 (4.0 to 10.0). Three double blind placebo controlled trials (368 patients) were pooled for analysis of musculoskeletal conditions. The relative benefit from topical capsaicin 0.025% or plaster compared with placebo was 1.5 (1.1 to 2.0) and the number needed to treat was 8.1 (4.6 to 34). Around one third of patients experienced local adverse events with capsaicin, which would not have been the case with placebo. CONCLUSIONS: Although topically applied capsaicin has moderate to poor efficacy in the treatment of chronic musculoskeletal or neuropathic pain, it may be useful as an adjunct or sole therapy for a small number of patients who are unresponsive to, or intolerant of, other treatments.","author":[{"dropping-particle":"","family":"Mason","given":"Lorna","non-dropping-particle":"","parse-names":false,"suffix":""},{"dropping-particle":"","family":"Moore","given":"R Andrew","non-dropping-particle":"","parse-names":false,"suffix":""},{"dropping-particle":"","family":"Derry","given":"Sheena","non-dropping-particle":"","parse-names":false,"suffix":""},{"dropping-particle":"","family":"Edwards","given":"Jayne E","non-dropping-particle":"","parse-names":false,"suffix":""},{"dropping-particle":"","family":"McQuay","given":"Henry J","non-dropping-particle":"","parse-names":false,"suffix":""}],"container-title":"BMJ (Clinical research ed.)","id":"ITEM-1","issue":"7446","issued":{"date-parts":[["2004","4"]]},"language":"eng","page":"991","title":"Systematic review of topical capsaicin for the treatment of chronic pain.","type":"article-journal","volume":"328"},"uris":["http://www.mendeley.com/documents/?uuid=2cec37d8-8efe-4282-9682-afcaefca1c38"]}],"mendeley":{"formattedCitation":"(Mason et al., 2004)","plainTextFormattedCitation":"(Mason et al., 2004)","previouslyFormattedCitation":"(Mason et al., 2004)"},"properties":{"noteIndex":0},"schema":"https://github.com/citation-style-language/schema/raw/master/csl-citation.json"}</w:instrText>
      </w:r>
      <w:r w:rsidRPr="006C35DF">
        <w:rPr>
          <w:rFonts w:cstheme="minorHAnsi"/>
          <w:bCs/>
        </w:rPr>
        <w:fldChar w:fldCharType="separate"/>
      </w:r>
      <w:r w:rsidRPr="006C35DF">
        <w:rPr>
          <w:rFonts w:cstheme="minorHAnsi"/>
          <w:bCs/>
          <w:noProof/>
        </w:rPr>
        <w:t>(Mason et al., 2004)</w:t>
      </w:r>
      <w:r w:rsidRPr="006C35DF">
        <w:rPr>
          <w:rFonts w:cstheme="minorHAnsi"/>
          <w:bCs/>
        </w:rPr>
        <w:fldChar w:fldCharType="end"/>
      </w:r>
      <w:r w:rsidRPr="006C35DF">
        <w:rPr>
          <w:rFonts w:cstheme="minorHAnsi"/>
          <w:bCs/>
        </w:rPr>
        <w:t xml:space="preserve">. More recently, a combination of topical drugs has been successfully applied to the treatment of oral neuropathies </w:t>
      </w:r>
      <w:r w:rsidRPr="006C35DF">
        <w:rPr>
          <w:rFonts w:cstheme="minorHAnsi"/>
          <w:bCs/>
        </w:rPr>
        <w:fldChar w:fldCharType="begin" w:fldLock="1"/>
      </w:r>
      <w:r w:rsidRPr="006C35DF">
        <w:rPr>
          <w:rFonts w:cstheme="minorHAnsi"/>
          <w:bCs/>
        </w:rPr>
        <w:instrText>ADDIN CSL_CITATION {"citationItems":[{"id":"ITEM-1","itemData":{"DOI":"10.1016/j.tripleo.2007.09.030","ISSN":"1528-395X (Electronic)","PMID":"18329583","abstract":"OBJECTIVE: The objective of this study was to evaluate the effect of topical  medications as a single treatment or in combination with systemic medications in the treatment of orofacial neuropathic pain conditions. STUDY DESIGN: A retrospective chart review of 39 patients treated for orofacial neuropathic pain at the Orofacial Pain Clinic in the New Jersey Dental School was performed. In line with the treatment selection, the subjects were divided into 3 groups: topical medications only (n = 12), systemic medications only (n = 10), and a combination of both (n = 17). RESULTS: The starting pain level as expressed in pain Visual Analog Scale for the 3 groups was significantly different. The combined treatment group baseline pain level (7.5 +/- 0.403 SEM; P = .0015) and the systemic treatment only group pain level (8.6 +/- 0.611 SEM; P = .0375) was significantly elevated compared to the topical only group (6.1 +/- 0.716 SEM; P = .1057). Following treatment, pain level was significantly reduced in all 3 groups. The combined group had the highest pain relief (52.0 +/- 6.676 SEM % reduction; P &lt; .0001) followed by the systemic-only group (40.6 +/- 9.727 SEM % reduction; P = .0029) and the topicals-only group (40.9 +/- 10.775 SEM% reduction; P = .0048). The time taken for the topical treatment only to act was significantly shorter (3 weeks +/- 0.479 SEM; P = .0015) when compared with the systemic-only (4 weeks +/- 0.772 SEM; P = .3629) and the combined group (5.5 weeks +/- 0.912 SEM; P = .1738). CONCLUSION: Topical medication as single treatment or in combination with systemic medications can reduce orofacial neuropathic pain severity. Further prospective research should be performed to validate this treatment option.","author":[{"dropping-particle":"","family":"Heir","given":"Gary","non-dropping-particle":"","parse-names":false,"suffix":""},{"dropping-particle":"","family":"Karolchek","given":"Scott","non-dropping-particle":"","parse-names":false,"suffix":""},{"dropping-particle":"","family":"Kalladka","given":"Mythili","non-dropping-particle":"","parse-names":false,"suffix":""},{"dropping-particle":"","family":"Vishwanath","given":"Archana","non-dropping-particle":"","parse-names":false,"suffix":""},{"dropping-particle":"","family":"Gomes","given":"Julyana","non-dropping-particle":"","parse-names":false,"suffix":""},{"dropping-particle":"","family":"Khatri","given":"Raashi","non-dropping-particle":"","parse-names":false,"suffix":""},{"dropping-particle":"","family":"Nasri","given":"Cibele","non-dropping-particle":"","parse-names":false,"suffix":""},{"dropping-particle":"","family":"Eliav","given":"Eli","non-dropping-particle":"","parse-names":false,"suffix":""},{"dropping-particle":"","family":"Ananthan","given":"Sowmya","non-dropping-particle":"","parse-names":false,"suffix":""}],"container-title":"Oral surgery, oral medicine, oral pathology, oral radiology, and endodontics","id":"ITEM-1","issue":"4","issued":{"date-parts":[["2008","4"]]},"language":"eng","page":"466-469","publisher-place":"United States","title":"Use of topical medication in orofacial neuropathic pain: a retrospective study.","type":"article-journal","volume":"105"},"uris":["http://www.mendeley.com/documents/?uuid=c3a5cb2a-6f6f-4555-b219-fb3b3067a450"]}],"mendeley":{"formattedCitation":"(Heir et al., 2008)","plainTextFormattedCitation":"(Heir et al., 2008)","previouslyFormattedCitation":"(Heir et al., 2008)"},"properties":{"noteIndex":0},"schema":"https://github.com/citation-style-language/schema/raw/master/csl-citation.json"}</w:instrText>
      </w:r>
      <w:r w:rsidRPr="006C35DF">
        <w:rPr>
          <w:rFonts w:cstheme="minorHAnsi"/>
          <w:bCs/>
        </w:rPr>
        <w:fldChar w:fldCharType="separate"/>
      </w:r>
      <w:r w:rsidRPr="006C35DF">
        <w:rPr>
          <w:rFonts w:cstheme="minorHAnsi"/>
          <w:bCs/>
          <w:noProof/>
        </w:rPr>
        <w:t>(Heir et al., 2008)</w:t>
      </w:r>
      <w:r w:rsidRPr="006C35DF">
        <w:rPr>
          <w:rFonts w:cstheme="minorHAnsi"/>
          <w:bCs/>
        </w:rPr>
        <w:fldChar w:fldCharType="end"/>
      </w:r>
      <w:r w:rsidRPr="006C35DF">
        <w:rPr>
          <w:rFonts w:cstheme="minorHAnsi"/>
          <w:bCs/>
        </w:rPr>
        <w:t>. The authors concluded that topical medication as single treatment or in combination with systemic medications can reduce orofacial neuropathic pain severity.</w:t>
      </w:r>
    </w:p>
    <w:p w14:paraId="5395807C" w14:textId="77777777" w:rsidR="003C6750" w:rsidRPr="006C35DF" w:rsidRDefault="003C6750" w:rsidP="003C6750">
      <w:pPr>
        <w:pStyle w:val="Kop2"/>
        <w:rPr>
          <w:bCs/>
        </w:rPr>
      </w:pPr>
      <w:r w:rsidRPr="006C35DF">
        <w:t>Surgical intervention</w:t>
      </w:r>
      <w:r w:rsidRPr="006C35DF">
        <w:rPr>
          <w:bCs/>
        </w:rPr>
        <w:t xml:space="preserve"> </w:t>
      </w:r>
    </w:p>
    <w:p w14:paraId="5CEF1DFE" w14:textId="00890F64" w:rsidR="003C6750" w:rsidRPr="00C27123" w:rsidRDefault="003C6750" w:rsidP="00C27123">
      <w:pPr>
        <w:jc w:val="both"/>
        <w:rPr>
          <w:rFonts w:cstheme="minorHAnsi"/>
          <w:bCs/>
        </w:rPr>
      </w:pPr>
      <w:r w:rsidRPr="006C35DF">
        <w:rPr>
          <w:rFonts w:cstheme="minorHAnsi"/>
          <w:bCs/>
        </w:rPr>
        <w:t xml:space="preserve">If surgery is undertaken, it is marginally more successful in inferior alveolar than in lingual nerve injuries </w:t>
      </w:r>
      <w:r w:rsidRPr="006C35DF">
        <w:rPr>
          <w:rFonts w:cstheme="minorHAnsi"/>
          <w:bCs/>
        </w:rPr>
        <w:fldChar w:fldCharType="begin" w:fldLock="1"/>
      </w:r>
      <w:r w:rsidR="00767250">
        <w:rPr>
          <w:rFonts w:cstheme="minorHAnsi"/>
          <w:bCs/>
        </w:rPr>
        <w:instrText>ADDIN CSL_CITATION {"citationItems":[{"id":"ITEM-1","itemData":{"ISSN":"1936-7163 (Electronic)","PMID":"19417874","abstract":"OBJECTIVE: To evaluate the outcomes of published studies involving lingual nerve  (LN) and inferior alveolar nerve (IAN) microsurgery and reviewing differences in sensory recovery and timing to repair for both groups. METHOD AND MATERIALS: A total of 29 patient charts referred to the principal investigator were reviewed (15 IAN and 14 LN). Age, gender, mechanism of injury, and time from injury to surgical repair were assessed. Two-point discrimination and tactile detection threshold (via von Frey monofilaments) were the utilized measured variables because both are quantifiable and repeatable data points. RESULTS: There was a predominance of female patients (10 IAN, 12 LN), and the mean age of the patients in the IAN group (37.40 +/- 9.61 years) was significantly higher than in the LN group (28.86 +/- 7.99 years). The time from injury to microsurgery was longer in the LN group (234.10 +/- 166.13 days) than the IAN group (137.80 +/- 83.80 days). Four patients from the IAN group and 7 from the LN group were operated on more than 6 months after the injury. Of the 15 patients who underwent IAN microsurgery, 1 patient had no change in either von Frey or 2-point discrimination results after the procedure, and 2 patients had no changes in only von Frey results. For the 14 patients undergoing LN repair, 1 patient demonstrated no change in the 2-point discrimination test and 1 patient had a reduced postoperative von Frey result compared to the preoperative measurement. CONCLUSION: Patients undergoing LN and IAN microsurgery benefit from trigeminal nerve microsurgery. No statistically significant differences overall were observed when comparing the outcomes of LN and IAN microsurgery. Patients undergoing trigeminal nerve microsurgery for LN and IAN injuries 6 months after injury derived less sensory recovery; however, significant improvement was still observed, warranting consideration for microsurgery in those patients who might present later for initial surgical consultation.","author":[{"dropping-particle":"","family":"Ziccardi","given":"Vincent B","non-dropping-particle":"","parse-names":false,"suffix":""},{"dropping-particle":"","family":"Rivera","given":"Llisenia","non-dropping-particle":"","parse-names":false,"suffix":""},{"dropping-particle":"","family":"Gomes","given":"Julyana","non-dropping-particle":"","parse-names":false,"suffix":""}],"container-title":"Quintessence international (Berlin, Germany : 1985)","id":"ITEM-1","issue":"4","issued":{"date-parts":[["2009","4"]]},"language":"eng","page":"295-301","publisher-place":"Germany","title":"Comparison of lingual and inferior alveolar nerve microsurgery outcomes.","type":"article-journal","volume":"40"},"uris":["http://www.mendeley.com/documents/?uuid=181bb0bb-b1bd-49bc-aa7a-5bf967177628"]},{"id":"ITEM-2","itemData":{"DOI":"10.1053/joms.2002.31841","ISSN":"0278-2391 (Print)","PMID":"11988920","abstract":"PURPOSE: The goal was to evaluate the experience of one surgical unit during a  5-year period in the evaluation and management of patients with injuries of the inferior alveolar and lingual nerve with particular reference to indications for and results of microneurosurgery. PATIENTS AND METHODS: This study includes all patients referred with a diagnosis of injury to the inferior alveolar or lingual nerve during 5-year period from January 1, 1994, to January 1, 1999. All patients were evaluated with Frey's hairs for touch and direction sense, 2-point discrimination, and hot and cold water and Minnesota thermal discs for temperature sensation. Patients who fulfilled certain specified criteria were offered microneurosurgery, and the results were evaluated for those who underwent microneurosurgery. RESULTS: The study consisted of 880 consecutive patients; 96 were thought to fulfill the criteria for microneurosurgery. Of these, 51 underwent microneurosurgical exploration and repair. In 5 patients, no injury could be detected at surgery, and no corrective surgery was performed other than decompression. In 26 patients, excision and direct anastomosis were performed, and in an additional 20 patients, nerve gap reconstruction was performed. In 16 of these 20 patients, reconstruction was performed with an autogenous vein graft, and in 2 patients, a Gore-Tex tube graft (W.L. Gore &amp; Associates, Inc, Flagstaff, AZ) was used to bridge the nerve gap. In 2 patients, an autogenous nerve was used. Thirty-four of the repairs were made on the lingual nerve, and 17 were made on the inferior alveolar nerve. With the use of established criteria, 10 patients were considered to have had a good improvement in sensation, 18 patients were considered to have had some improvement in sensation, and 22 patients were considered to have had no improvement in sensation; 1 patient reported an increase in dysesthesia after surgery. The semiobjective assessment of patients did not always correspond with the patients' subjective evaluation. CONCLUSION: In a relatively small study in selected cases, microneurosurgery can provide a reasonable result in improving sensation in the inferior alveolar and lingual nerve. More than 50% of patients experienced some improvement in sensation, and dysesthesia did not develop after surgery in any patient who did not have it before surgery.","author":[{"dropping-particle":"","family":"Pogrel","given":"M Anthony","non-dropping-particle":"","parse-names":false,"suffix":""}],"container-title":"Journal of oral and maxillofacial surgery : official journal of the American  Association of Oral and Maxillofacial Surgeons","id":"ITEM-2","issue":"5","issued":{"date-parts":[["2002","5"]]},"language":"eng","page":"485-489","publisher-place":"United States","title":"The results of microneurosurgery of the inferior alveolar and lingual nerve.","type":"article-journal","volume":"60"},"uris":["http://www.mendeley.com/documents/?uuid=4ae5b2b7-f0fd-4e36-aa1b-6206d85b388e"]}],"mendeley":{"formattedCitation":"(Pogrel, 2002; Ziccardi et al., 2009)","plainTextFormattedCitation":"(Pogrel, 2002; Ziccardi et al., 2009)","previouslyFormattedCitation":"(Pogrel, 2002; Ziccardi et al., 2009)"},"properties":{"noteIndex":0},"schema":"https://github.com/citation-style-language/schema/raw/master/csl-citation.json"}</w:instrText>
      </w:r>
      <w:r w:rsidRPr="006C35DF">
        <w:rPr>
          <w:rFonts w:cstheme="minorHAnsi"/>
          <w:bCs/>
        </w:rPr>
        <w:fldChar w:fldCharType="separate"/>
      </w:r>
      <w:r w:rsidR="002A0DBF" w:rsidRPr="002A0DBF">
        <w:rPr>
          <w:rFonts w:cstheme="minorHAnsi"/>
          <w:bCs/>
          <w:noProof/>
        </w:rPr>
        <w:t>(Pogrel, 2002; Ziccardi et al., 2009)</w:t>
      </w:r>
      <w:r w:rsidRPr="006C35DF">
        <w:rPr>
          <w:rFonts w:cstheme="minorHAnsi"/>
          <w:bCs/>
        </w:rPr>
        <w:fldChar w:fldCharType="end"/>
      </w:r>
      <w:r w:rsidRPr="006C35DF">
        <w:rPr>
          <w:rFonts w:cstheme="minorHAnsi"/>
          <w:bCs/>
        </w:rPr>
        <w:t xml:space="preserve">, but the presence of a neuroma is a negative prognostic factor </w:t>
      </w:r>
      <w:r w:rsidRPr="006C35DF">
        <w:rPr>
          <w:rFonts w:cstheme="minorHAnsi"/>
          <w:bCs/>
        </w:rPr>
        <w:fldChar w:fldCharType="begin" w:fldLock="1"/>
      </w:r>
      <w:r w:rsidRPr="006C35DF">
        <w:rPr>
          <w:rFonts w:cstheme="minorHAnsi"/>
          <w:bCs/>
        </w:rPr>
        <w:instrText>ADDIN CSL_CITATION {"citationItems":[{"id":"ITEM-1","itemData":{"DOI":"10.1016/j.joms.2006.10.010","ISSN":"02782391","abstract":"Purpose: This study evaluated the relationship between timing of lingual nerve repair and functional sensory recovery. Materials and Methods: Using a retrospective cohort study design, the investigators enrolled a sample of subjects who had lingual nerve repair. The predictor variable was time between injury and repair, categorized as early (&lt;90 days after injury) or late (&gt;90 days after injury). The outcome variable was the time to functional sensory recovery (FSR), measured in days. Other variables were categorized as demographic, anatomic, and operative. Uni- and multivariate Cox proportional hazards models were used to evaluate the association between the timing of the repair and time to FSR. Results: The study sample was composed of 64 subjects who had lingual nerve repair between January 1998 and January 2005. The mean time between injury and repair was 153.2 (31-1606) days; 21.9% of subjects had early repair. The mean age was 28.4 ± 8.0 years, 62.5% of subjects were female; 77% of the injured nerves were repaired by direct suture, and 23% had surgical exploration with decompression/neurolysis. In bivariate analyses, early repair, method of repair, and neuroma were statistically or near-statistically associated with time to FSR (P ≤ .12). In a multiple Cox proportional hazards model, early repair was associated with time to FSR (P = .02). Ninety-three percent of subjects in the early repair group achieved FSR within 1 year, compared with 62.9% in the late group (P = .05). Conclusions: Early repair of lingual nerve injuries results in FSR more frequently and earlier than late repair. © 2007 American Association of Oral and Maxillofacial Surgeons.","author":[{"dropping-particle":"","family":"Susarla","given":"Srinivas M.","non-dropping-particle":"","parse-names":false,"suffix":""},{"dropping-particle":"","family":"Kaban","given":"Leonard B.","non-dropping-particle":"","parse-names":false,"suffix":""},{"dropping-particle":"","family":"Donoff","given":"R. Bruce","non-dropping-particle":"","parse-names":false,"suffix":""},{"dropping-particle":"","family":"Dodson","given":"Thomas B.","non-dropping-particle":"","parse-names":false,"suffix":""}],"container-title":"Journal of Oral and Maxillofacial Surgery","id":"ITEM-1","issue":"6","issued":{"date-parts":[["2007"]]},"page":"1070-1076","title":"Does Early Repair of Lingual Nerve Injuries Improve Functional Sensory Recovery?","type":"article-journal","volume":"65"},"uris":["http://www.mendeley.com/documents/?uuid=a724e709-b69a-4f9b-a82d-4548f3a04d65"]}],"mendeley":{"formattedCitation":"(Susarla et al., 2007)","plainTextFormattedCitation":"(Susarla et al., 2007)","previouslyFormattedCitation":"(Susarla et al., 2007)"},"properties":{"noteIndex":0},"schema":"https://github.com/citation-style-language/schema/raw/master/csl-citation.json"}</w:instrText>
      </w:r>
      <w:r w:rsidRPr="006C35DF">
        <w:rPr>
          <w:rFonts w:cstheme="minorHAnsi"/>
          <w:bCs/>
        </w:rPr>
        <w:fldChar w:fldCharType="separate"/>
      </w:r>
      <w:r w:rsidRPr="006C35DF">
        <w:rPr>
          <w:rFonts w:cstheme="minorHAnsi"/>
          <w:bCs/>
          <w:noProof/>
        </w:rPr>
        <w:t>(Susarla et al., 2007)</w:t>
      </w:r>
      <w:r w:rsidRPr="006C35DF">
        <w:rPr>
          <w:rFonts w:cstheme="minorHAnsi"/>
          <w:bCs/>
        </w:rPr>
        <w:fldChar w:fldCharType="end"/>
      </w:r>
      <w:r w:rsidRPr="006C35DF">
        <w:rPr>
          <w:rFonts w:cstheme="minorHAnsi"/>
          <w:bCs/>
        </w:rPr>
        <w:t xml:space="preserve">. Case series with repair within one year of injury show good success rates, as measured by sensory recovery </w:t>
      </w:r>
      <w:r w:rsidRPr="006C35DF">
        <w:rPr>
          <w:rFonts w:cstheme="minorHAnsi"/>
          <w:bCs/>
        </w:rPr>
        <w:fldChar w:fldCharType="begin" w:fldLock="1"/>
      </w:r>
      <w:r w:rsidR="00767250">
        <w:rPr>
          <w:rFonts w:cstheme="minorHAnsi"/>
          <w:bCs/>
        </w:rPr>
        <w:instrText>ADDIN CSL_CITATION {"citationItems":[{"id":"ITEM-1","itemData":{"ISSN":"14882159","abstract":"BACKGROUND: Iatrogenic paresthesia in the third division of the trigeminal nerve remains a complex clinical problem with major medicolegal implications. However, most lawsuits can be prevented through better planning of procedures and by obtaining informed consent. The purpose of this article is to present the authors\" clinical experience over the past 12 years, to review the principles of prevention and management of trigeminal paresthesia and to highlight the resulting medicolegal implications. METHODS: The files of all 165 patients referred to the oral and maxillofacial surgery department for evaluation of iatrogenic paresthesia in the third division of the trigeminal nerve were reviewed. The characteristics of the subgroup of patients who had taken an attending dentist to court were compared with those of the other patients. RESULTS: Surgical extraction of impacted molars was the main cause of paresthesia in 109 (66%) of the 165 subjects. The alveolar nerve was affected in 89 (54%) subjects, the lingual nerve in 67 (41%) subjects, and both nerves were affected in 9 (5%) subjects. There were more female than male patients (ratio 2.2:1). Lawsuits were initiated in 33 (20%) of the cases; patients who initiated lawsuits were younger, were more likely to have experienced anesthesia and were more likely to need microsurgery (all p &lt; 0.001). Poor surgical planning and lack of informed consent were the most common errors on the part of the dentists. CONCLUSIONS: An accurate evaluation of surgical indications and risk, good surgical technique, preoperative informed consent and sufficient postoperative follow-up should help to reduce the frequency of neurosensory deficits after dental treatment and attendant lawsuits.","author":[{"dropping-particle":"","family":"Caissie","given":"René","non-dropping-particle":"","parse-names":false,"suffix":""},{"dropping-particle":"","family":"Goulet","given":"Jacques","non-dropping-particle":"","parse-names":false,"suffix":""},{"dropping-particle":"","family":"Fortin","given":"Michel","non-dropping-particle":"","parse-names":false,"suffix":""},{"dropping-particle":"","family":"Morielli","given":"Domenic","non-dropping-particle":"","parse-names":false,"suffix":""}],"container-title":"Journal of the Canadian Dental Association","id":"ITEM-1","issue":"3","issued":{"date-parts":[["2005"]]},"page":"185-190","title":"Iatrogenic paresthesia in the third division of the trigeminal nerve: 12 Years of clinical experience","type":"article-journal","volume":"71"},"uris":["http://www.mendeley.com/documents/?uuid=889b273b-25d9-4054-9874-d20c8b61a4a8"]},{"id":"ITEM-2","itemData":{"DOI":"10.1016/j.joms.2005.04.023","ISSN":"0278-2391 (Print)","PMID":"16094582","abstract":"OBJECTIVE: A retrospective study was undertaken to investigate the clinical outcomes resulting from the microsurgical repair of lingual nerve injuries. The study was based on patient chart review. PATIENTS AND METHODS: A total of 20 patients referred to the principal investigator (V.B.Z.), with a diagnosis of lingual nerve injury who underwent trigeminal nerve microsurgery during a 3-year period (1999 to 2002), were entered in this study. All patients received a complete history and physical examination, and thorough preoperative and postoperative neurosensory testing to evaluate clinical response to hot, cold, cotton wisp, vibration, 2-point discrimination, directional stroke, and fine touch as determined by Von-Frey filaments. RESULTS: All patients underwent an external neurolysis procedure in combination with an internal neurolysis, neuroma excision, or primary neurorrhaphy under microscopic guidance depending on the intraoperative findings. The average time from injury to surgery was 8 months. The patients were followed for an average of 9 months after surgery, and assessment was based on the patients subjective experience as well as standardized neurosensory testing. Eighteen patients (90%) had some improvement in neurosensory function and 2 patients (10%) reported no improvement. One of the patients exhibiting no clinical improvement had a prolonged delay in seeking treatment, and the distal nerve could not be localized intraoperatively. Most patients were operated on between 2.5 and 7 months after injury, and there was no statistical difference in outcome as a function of the time from injury to repair in this group of patients. This subgroup of responding patients averaged at least 50% improvement in neurosensory function. CONCLUSION: Microsurgical repair of lingual nerves provides moderate to significant improvements in clinical sensory function and is a useful option in treating affected individuals, especially when implemented soon after injury.","author":[{"dropping-particle":"","family":"Rutner","given":"Torin W","non-dropping-particle":"","parse-names":false,"suffix":""},{"dropping-particle":"","family":"Ziccardi","given":"Vincent B","non-dropping-particle":"","parse-names":false,"suffix":""},{"dropping-particle":"","family":"Janal","given":"Malvin N","non-dropping-particle":"","parse-names":false,"suffix":""}],"container-title":"Journal of oral and maxillofacial surgery : official journal of the American Association of Oral and Maxillofacial Surgeons","id":"ITEM-2","issue":"8","issued":{"date-parts":[["2005","8"]]},"language":"eng","page":"1145-1149","publisher-place":"United States","title":"Long-term outcome assessment for lingual nerve microsurgery.","type":"article-journal","volume":"63"},"uris":["http://www.mendeley.com/documents/?uuid=b95ae622-3eed-4c18-88ac-6dc6afee0895"]},{"id":"ITEM-3","itemData":{"DOI":"10.1016/j.joms.2005.11.111","ISSN":"02782391","abstract":"Purpose: This retrospective study was performed to assess the clinical outcome of patients who have undergone trigeminal nerve microsurgical repair of the inferior alveolar nerve. Materials and Methods: This study includes all patients who underwent microsurgical repair of the inferior alveolar nerve at the University of Medicine and Dentistry of New Jersey from July 1, 1998 through June 30, 2003. Each patient underwent a thorough evaluation of sensory nerve function that included the type of injury, date of injury, and neurosensory testing. The evaluation was performed pre- and postoperatively to assess sensory improvement. Through chart review and quantitative statistical analysis, the outcome of inferior alveolar nerve microsurgical repair was assessed to ascertain which sensory variables were statistically significant in showing improvement from microsurgical procedures. Results: Thirty-two patients underwent microsurgical repair of their inferior alveolar nerve injury by the same surgeon. The average period of time from initial nerve injury until primary surgical repair was 6.6 months. Four patients did not follow-up postoperatively and were excluded from the final data. Of the remaining 28 patients, mean follow-up period was 9.5 months. It was determined that 26 patients (92.9%) had statistically significant neurosensory improvement, with 14 reporting (50%) significant improvement, 12 patients (42.9%) with slight improvement, and 2 patients (7.1%) demonstrating no improvement. No statistical evidence was found to support that a decrease in time from injury to surgery had improved results in this limited patient population. Conclusion: Microsurgical repair provides an improvement in neurosensory function in patients that present with an inferior alveolar nerve injury. © 2006 American Association of Oral and Maxillofacial Surgeons.","author":[{"dropping-particle":"","family":"Strauss","given":"Edward R.","non-dropping-particle":"","parse-names":false,"suffix":""},{"dropping-particle":"","family":"Ziccardi","given":"Vincent B.","non-dropping-particle":"","parse-names":false,"suffix":""},{"dropping-particle":"","family":"Janal","given":"Malvin N.","non-dropping-particle":"","parse-names":false,"suffix":""}],"container-title":"Journal of Oral and Maxillofacial Surgery","id":"ITEM-3","issue":"12","issued":{"date-parts":[["2006"]]},"page":"1767-1770","title":"Outcome Assessment of Inferior Alveolar Nerve Microsurgery: A Retrospective Review","type":"article-journal","volume":"64"},"uris":["http://www.mendeley.com/documents/?uuid=0bcbf84d-f342-482f-8db5-d765dd492f8c"]},{"id":"ITEM-4","itemData":{"DOI":"10.1016/j.joms.2006.10.010","ISSN":"02782391","abstract":"Purpose: This study evaluated the relationship between timing of lingual nerve repair and functional sensory recovery. Materials and Methods: Using a retrospective cohort study design, the investigators enrolled a sample of subjects who had lingual nerve repair. The predictor variable was time between injury and repair, categorized as early (&lt;90 days after injury) or late (&gt;90 days after injury). The outcome variable was the time to functional sensory recovery (FSR), measured in days. Other variables were categorized as demographic, anatomic, and operative. Uni- and multivariate Cox proportional hazards models were used to evaluate the association between the timing of the repair and time to FSR. Results: The study sample was composed of 64 subjects who had lingual nerve repair between January 1998 and January 2005. The mean time between injury and repair was 153.2 (31-1606) days; 21.9% of subjects had early repair. The mean age was 28.4 ± 8.0 years, 62.5% of subjects were female; 77% of the injured nerves were repaired by direct suture, and 23% had surgical exploration with decompression/neurolysis. In bivariate analyses, early repair, method of repair, and neuroma were statistically or near-statistically associated with time to FSR (P ≤ .12). In a multiple Cox proportional hazards model, early repair was associated with time to FSR (P = .02). Ninety-three percent of subjects in the early repair group achieved FSR within 1 year, compared with 62.9% in the late group (P = .05). Conclusions: Early repair of lingual nerve injuries results in FSR more frequently and earlier than late repair. © 2007 American Association of Oral and Maxillofacial Surgeons.","author":[{"dropping-particle":"","family":"Susarla","given":"Srinivas M.","non-dropping-particle":"","parse-names":false,"suffix":""},{"dropping-particle":"","family":"Kaban","given":"Leonard B.","non-dropping-particle":"","parse-names":false,"suffix":""},{"dropping-particle":"","family":"Donoff","given":"R. Bruce","non-dropping-particle":"","parse-names":false,"suffix":""},{"dropping-particle":"","family":"Dodson","given":"Thomas B.","non-dropping-particle":"","parse-names":false,"suffix":""}],"container-title":"Journal of Oral and Maxillofacial Surgery","id":"ITEM-4","issue":"6","issued":{"date-parts":[["2007"]]},"page":"1070-1076","title":"Does Early Repair of Lingual Nerve Injuries Improve Functional Sensory Recovery?","type":"article-journal","volume":"65"},"uris":["http://www.mendeley.com/documents/?uuid=a724e709-b69a-4f9b-a82d-4548f3a04d65"]},{"id":"ITEM-5","itemData":{"DOI":"10.1016/j.joms.2005.11.090","ISSN":"02782391","abstract":"Injury to peripheral branches of the trigeminal nerve is a known sequelae of oral and maxillofacial surgery procedures. The most often studied and reported branches have been the inferior alveolar and lingual nerves. Many questions still remain unanswered concerning the appropriate timing of surgical repair. The literature frequently mentions specific timing guidelines, however, there is scant scientific evidence to support these guidelines. In fact, several authors of clinical series state that although many of their surgical procedures occurred fairly late due to the timing of referral and other issues such as insurance authorization, reasonable clinical results were still achieved in thes</w:instrText>
      </w:r>
      <w:r w:rsidR="00767250" w:rsidRPr="00EC4AFD">
        <w:rPr>
          <w:rFonts w:cstheme="minorHAnsi"/>
          <w:bCs/>
          <w:lang w:val="nl-BE"/>
        </w:rPr>
        <w:instrText>e patients. Various systems of nerve injury evaluation and testing methods make it difficult to draw specific timing recommendations. The consensus of literature reviewed indicates that more research is necessary in this area to better answer these questions. © 2007 American Association of Oral and Maxillofacial Surgeons.","author":[{"dropping-particle":"","family":"Ziccardi","given":"Vincent B.","non-dropping-particle":"","parse-names":false,"suffix":""},{"dropping-particle":"","family":"Steinberg","given":"Mark J.","non-dropping-particle":"","parse-names":false,"suffix":""}],"container-title":"Journal of Oral and Maxillofacial Surgery","id":"ITEM-5","issue":"7","issued":{"date-parts":[["2007"]]},"page":"1341-1345","title":"Timing of Trigeminal Nerve Microsurgery: A Review of the Literature","type":"article-journal","volume":"65"},"uris":["http://www.mendeley.com/documents/?uuid=a7a96fde-dbc7-4174-ae51-0980cb1f5e4e"]}],"mendeley":{"formattedCitation":"(Caissie et al., 2005; Rutner et al., 2005; Strauss et al., 2006; Susarla et al., 2007; Ziccardi &amp; Steinberg, 2007)","plainTextFormattedCitation":"(Caissie et al., 2005; Rutner et al., 2005; Strauss et al., 2006; Susarla et al., 2007; Ziccardi &amp; Steinberg, 2007)","previouslyFormattedCitation":"(Caissie et al., 2005; Rutner et al., 2005; Strauss et al., 2006; Susarla et al., 2007; Ziccardi &amp; Steinberg, 2007)"},"properties":{"noteIndex":0},"schema":"https://github.com/citation-style-language/schema/raw/master/csl-citation.json"}</w:instrText>
      </w:r>
      <w:r w:rsidRPr="006C35DF">
        <w:rPr>
          <w:rFonts w:cstheme="minorHAnsi"/>
          <w:bCs/>
        </w:rPr>
        <w:fldChar w:fldCharType="separate"/>
      </w:r>
      <w:r w:rsidR="002A0DBF" w:rsidRPr="002A0DBF">
        <w:rPr>
          <w:rFonts w:cstheme="minorHAnsi"/>
          <w:bCs/>
          <w:noProof/>
          <w:lang w:val="nl-BE"/>
        </w:rPr>
        <w:t>(Caissie et al., 2005; Rutner et al., 2005; Strauss et al., 2006; Susarla et al., 2007; Ziccardi &amp; Steinberg, 2007)</w:t>
      </w:r>
      <w:r w:rsidRPr="006C35DF">
        <w:rPr>
          <w:rFonts w:cstheme="minorHAnsi"/>
          <w:bCs/>
        </w:rPr>
        <w:fldChar w:fldCharType="end"/>
      </w:r>
      <w:r w:rsidRPr="006C35DF">
        <w:rPr>
          <w:rFonts w:cstheme="minorHAnsi"/>
          <w:bCs/>
          <w:lang w:val="nl-BE"/>
        </w:rPr>
        <w:t xml:space="preserve">. </w:t>
      </w:r>
      <w:r w:rsidRPr="006C35DF">
        <w:rPr>
          <w:rFonts w:cstheme="minorHAnsi"/>
          <w:bCs/>
        </w:rPr>
        <w:t xml:space="preserve">About 50% of repaired cases will recover with complete sensory function by </w:t>
      </w:r>
      <w:r w:rsidR="00006C6F">
        <w:rPr>
          <w:rFonts w:cstheme="minorHAnsi"/>
          <w:bCs/>
        </w:rPr>
        <w:t>seven</w:t>
      </w:r>
      <w:r w:rsidRPr="006C35DF">
        <w:rPr>
          <w:rFonts w:cstheme="minorHAnsi"/>
          <w:bCs/>
        </w:rPr>
        <w:t xml:space="preserve"> months </w:t>
      </w:r>
      <w:r w:rsidRPr="006C35DF">
        <w:rPr>
          <w:rFonts w:cstheme="minorHAnsi"/>
          <w:bCs/>
        </w:rPr>
        <w:fldChar w:fldCharType="begin" w:fldLock="1"/>
      </w:r>
      <w:r w:rsidRPr="006C35DF">
        <w:rPr>
          <w:rFonts w:cstheme="minorHAnsi"/>
          <w:bCs/>
        </w:rPr>
        <w:instrText>ADDIN CSL_CITATION {"citationItems":[{"id":"ITEM-1","itemData":{"DOI":"10.1016/j.joms.2006.10.010","ISSN":"02782391","abstract":"Purpose: This study evaluated the relationship between timing of lingual nerve repair and functional sensory recovery. Materials and Methods: Using a retrospective cohort study design, the investigators enrolled a sample of subjects who had lingual nerve repair. The predictor variable was time between injury and repair, categorized as early (&lt;90 days after injury) or late (&gt;90 days after injury). The outcome variable was the time to functional sensory recovery (FSR), measured in days. Other variables were categorized as demographic, anatomic, and operative. Uni- and multivariate Cox proportional hazards models were used to evaluate the association between the timing of the repair and time to FSR. Results: The study sample was composed of 64 subjects who had lingual nerve repair between January 1998 and January 2005. The mean time between injury and repair was 153.2 (31-1606) days; 21.9% of subjects had early repair. The mean age was 28.4 ± 8.0 years, 62.5% of subjects were female; 77% of the injured nerves were repaired by direct suture, and 23% had surgical exploration with decompression/neurolysis. In bivariate analyses, early repair, method of repair, and neuroma were statistically or near-statistically associated with time to FSR (P ≤ .12). In a multiple Cox proportional hazards model, early repair was associated with time to FSR (P = .02). Ninety-three percent of subjects in the early repair group achieved FSR within 1 year, compared with 62.9% in the late group (P = .05). Conclusions: Early repair of lingual nerve injuries results in FSR more frequently and earlier than late repair. © 2007 American Association of Oral and Maxillofacial Surgeons.","author":[{"dropping-particle":"","family":"Susarla","given":"Srinivas M.","non-dropping-particle":"","parse-names":false,"suffix":""},{"dropping-particle":"","family":"Kaban","given":"Leonard B.","non-dropping-particle":"","parse-names":false,"suffix":""},{"dropping-particle":"","family":"Donoff","given":"R. Bruce","non-dropping-particle":"","parse-names":false,"suffix":""},{"dropping-particle":"","family":"Dodson","given":"Thomas B.","non-dropping-particle":"","parse-names":false,"suffix":""}],"container-title":"Journal of Oral and Maxillofacial Surgery","id":"ITEM-1","issue":"6","issued":{"date-parts":[["2007"]]},"page":"1070-1076","title":"Does Early Repair of Lingual Nerve Injuries Improve Functional Sensory Recovery?","type":"article-journal","volume":"65"},"uris":["http://www.mendeley.com/documents/?uuid=a724e709-b69a-4f9b-a82d-4548f3a04d65"]}],"mendeley":{"formattedCitation":"(Susarla et al., 2007)","plainTextFormattedCitation":"(Susarla et al., 2007)","previouslyFormattedCitation":"(Susarla et al., 2007)"},"properties":{"noteIndex":0},"schema":"https://github.com/citation-style-language/schema/raw/master/csl-citation.json"}</w:instrText>
      </w:r>
      <w:r w:rsidRPr="006C35DF">
        <w:rPr>
          <w:rFonts w:cstheme="minorHAnsi"/>
          <w:bCs/>
        </w:rPr>
        <w:fldChar w:fldCharType="separate"/>
      </w:r>
      <w:r w:rsidRPr="006C35DF">
        <w:rPr>
          <w:rFonts w:cstheme="minorHAnsi"/>
          <w:bCs/>
          <w:noProof/>
        </w:rPr>
        <w:t>(Susarla et al., 2007)</w:t>
      </w:r>
      <w:r w:rsidRPr="006C35DF">
        <w:rPr>
          <w:rFonts w:cstheme="minorHAnsi"/>
          <w:bCs/>
        </w:rPr>
        <w:fldChar w:fldCharType="end"/>
      </w:r>
      <w:r w:rsidRPr="006C35DF">
        <w:rPr>
          <w:rFonts w:cstheme="minorHAnsi"/>
          <w:bCs/>
        </w:rPr>
        <w:t xml:space="preserve">. However, the eﬃcacy of surgery for painful trigeminal neuropathies is unclear. This would also depend on the type of surgery performed, that is, nerve repair or interventional surgery to further remove pathology. </w:t>
      </w:r>
      <w:r w:rsidRPr="006C35DF">
        <w:tab/>
      </w:r>
      <w:r w:rsidRPr="006C35DF">
        <w:tab/>
      </w:r>
    </w:p>
    <w:p w14:paraId="5C5E8E3C" w14:textId="79DB1A3A" w:rsidR="003C6750" w:rsidRPr="006C35DF" w:rsidRDefault="003C6750" w:rsidP="003C6750">
      <w:pPr>
        <w:jc w:val="both"/>
        <w:rPr>
          <w:rFonts w:cstheme="minorHAnsi"/>
        </w:rPr>
      </w:pPr>
      <w:r w:rsidRPr="006C35DF">
        <w:rPr>
          <w:rFonts w:cstheme="minorHAnsi"/>
          <w:bCs/>
        </w:rPr>
        <w:t xml:space="preserve">Allografting using a pre-prepared human treated cadaveric allograft for repair of the inferior alveolar and lingual nerve allows for repair with minimal tension. This is undertaken using microscopy and described in several publications </w:t>
      </w:r>
      <w:r w:rsidRPr="006C35DF">
        <w:rPr>
          <w:rFonts w:cstheme="minorHAnsi"/>
          <w:bCs/>
        </w:rPr>
        <w:fldChar w:fldCharType="begin" w:fldLock="1"/>
      </w:r>
      <w:r w:rsidRPr="006C35DF">
        <w:rPr>
          <w:rFonts w:cstheme="minorHAnsi"/>
          <w:bCs/>
        </w:rPr>
        <w:instrText>ADDIN CSL_CITATION {"citationItems":[{"id":"ITEM-1","itemData":{"DOI":"10.1016/j.joms.2014.10.030","ISBN":"0278-2391","ISSN":"15315053","PMID":"25530279","abstract":"PURPOSE: The present study describes the results of using a processed nerve allograft, Avance Nerve Graft, as an extracellular matrix scaffold for the reconstruction of lingual nerve (LN) and inferior alveolar nerve (IAN) discontinuities. PATIENTS AND METHODS: A retrospective analysis of the neurosensory outcomes for 26 subjects with 28 LN and IAN discontinuities reconstructed with a processed nerve allograft was conducted to determine the treatment effectiveness and safety. Sensory assessments were conducted preoperatively and 3, 6, and 12 months after surgical reconstruction. The outcomes population, those with at least 6 months of postoperative follow-up, included 21 subjects with 23 nerve defects. The neurosensory assessments included brush stroke directional sensation, static 2-point discrimination, contact detection, pressure pain threshold, and pressure pain tolerance. Using the clinical neurosensory testing scale, sensory impairment scores were assigned preoperatively and at each follow-up appointment. Improvement was defined as a score of normal, mild, or moderate. RESULTS: The neurosensory outcomes from LNs and IANs that had been microsurgically repaired with a processed nerve allograft were promising. Of those with nerve discontinuities treated, 87% had improved neurosensory scores with no reported adverse experiences. Similar levels of improvement, 87% for the LNs and 88% for the IANs, were achieved for both nerve types. Also, 100% sensory improvement was achieved in injuries repaired within 90 days of the injury compared with 77% sensory improvement in injuries repaired after 90 days. CONCLUSIONS: These results suggest that processed nerve allografts are an acceptable treatment option for reconstructing trigeminal nerve discontinuities. Additional studies will focus on reviewing the outcomes of additional cases.","author":[{"dropping-particle":"","family":"Zuniga","given":"John R.","non-dropping-particle":"","parse-names":false,"suffix":""}],"container-title":"Journal of oral and maxillofacial surgery : official journal of the American Association of Oral and Maxillofacial Surgeons","id":"ITEM-1","issue":"4","issued":{"date-parts":[["2015","4"]]},"language":"eng","page":"734-744","publisher":"American Association of Oral and Maxillofacial Surgeons","publisher-place":"United States","title":"Sensory outcomes after reconstruction of lingual and inferior alveolar nerve discontinuities using processed nerve allograft--a case series.","type":"article-journal","volume":"73"},"uris":["http://www.mendeley.com/documents/?uuid=d955d375-acc0-47d4-bde4-2dbbc52d68dc"]},{"id":"ITEM-2","itemData":{"DOI":"10.1016/j.joms.2016.05.029","ISSN":"15315053","abstract":"Purpose Contemporary management of ablative jaw defects includes not only hard and soft tissue reconstruction, but also restoration of neurosensory function. The goal of this study was to determine the outcomes of immediate reconstruction of long-span defects (≥50 mm) of the inferior alveolar nerve (IAN) after ablative mandibular resection using allogeneic nerve grafts. Materials and Methods A retrospective cohort study of patients who underwent immediate reconstruction of IAN gaps of at least 50 mm with allogeneic nerve graft (AxoGen Avance, Alachua, FL) at a single academic medical center by a single surgeon (M.M.) from September 2013 to March 2015 was completed. Demographic and clinical data were collected for each patient and analyzed using clinical neurosensory testing and were reported using the Medical Research Council Scale (MRCS) for functional sensory recovery. In addition, patient subjective perception of neurosensory recovery was recorded using a visual analog scale (VAS). Subjective (VAS) and objective (MRCS) measurements of functional sensory recovery were recorded and compared across the study population. In addition, examined demographic and clinical data included patient age, gender, pathology, length of nerve allograft, and follow-up period. Results Of 12 with nerve repairs, 7 patients met the inclusion criteria. The average age was 34.7 years (range, 18 to 61 yr) and 71.4% were men. All IAN defects resulted from resection of mandibular pathology (6 benign lesions, 1 malignant lesion). Six of the 7 IAN defects were reconstructed with a 70-mm nerve allograft, and 1 nerve defect was reconstructed with a 50-mm graft. Mean follow-up time was 17.7 months (range, 10 to 27.5 months). Mean VAS score reported was 3.7 (range, 0 to 7). In addition, 85.7% of patients displayed return of some superficial pain and tactile sensation without over-response (S3), with 14.3% displaying good stimulation localization (S3+). The patient who displayed S3+ recovery underwent reconstruction with the 50-mm graft. Only 1 of the 7 patients had no neurosensory recovery (S0). Conclusions Immediate reconstruction of the IAN with allogeneic nerve grafting of long-span defects (≥5 cm) is a viable and predictable option to achieve useful functional sensory recovery.","author":[{"dropping-particle":"","family":"Salomon","given":"David","non-dropping-particle":"","parse-names":false,"suffix":""},{"dropping-particle":"","family":"Miloro","given":"Michael","non-dropping-particle":"","parse-names":false,"suffix":""},{"dropping-particle":"","family":"Kolokythas","given":"Antonia","non-dropping-particle":"","parse-names":false,"suffix":""}],"container-title":"Journal of Oral and Maxillofacial Surgery","id":"ITEM-2","issue":"12","issued":{"date-parts":[["2016"]]},"page":"2507-2514","title":"Outcomes of Immediate Allograft Reconstruction of Long-Span Defects of the Inferior Alveolar Nerve","type":"article-journal","volume":"74"},"uris":["http://www.mendeley.com/documents/?uuid=7a68a24b-9a63-4585-b1bd-1941f58ddca6"]}],"mendeley":{"formattedCitation":"(Salomon et al., 2016; Zuniga, 2015)","plainTextFormattedCitation":"(Salomon et al., 2016; Zuniga, 2015)","previouslyFormattedCitation":"(Salomon et al., 2016; Zuniga, 2015)"},"properties":{"noteIndex":0},"schema":"https://github.com/citation-style-language/schema/raw/master/csl-citation.json"}</w:instrText>
      </w:r>
      <w:r w:rsidRPr="006C35DF">
        <w:rPr>
          <w:rFonts w:cstheme="minorHAnsi"/>
          <w:bCs/>
        </w:rPr>
        <w:fldChar w:fldCharType="separate"/>
      </w:r>
      <w:r w:rsidRPr="006C35DF">
        <w:rPr>
          <w:rFonts w:cstheme="minorHAnsi"/>
          <w:bCs/>
          <w:noProof/>
        </w:rPr>
        <w:t>(Salomon et al., 2016; Zuniga, 2015)</w:t>
      </w:r>
      <w:r w:rsidRPr="006C35DF">
        <w:rPr>
          <w:rFonts w:cstheme="minorHAnsi"/>
          <w:bCs/>
        </w:rPr>
        <w:fldChar w:fldCharType="end"/>
      </w:r>
      <w:r w:rsidRPr="006C35DF">
        <w:rPr>
          <w:rFonts w:cstheme="minorHAnsi"/>
          <w:bCs/>
        </w:rPr>
        <w:t>. This is likely to be the treatment of choice if repair is indicated and direct re-anastomosis cannot be undertaken most commonly for the inferior alveolar nerve. One of the main issues regarding nerve repair is the early identiﬁcation of the neuroma relating to the patients’ symptoms, and the connectivity of the nerve itself, that is, is the nerve actually functioning. Recent developments with magnetic resonance neurography have availed the surgeon to identify the nerve lesion and neural functionality to facilitate appropriate and earlier nerve repair intervention.</w:t>
      </w:r>
    </w:p>
    <w:p w14:paraId="7178B85A" w14:textId="77777777" w:rsidR="003C6750" w:rsidRPr="006C35DF" w:rsidRDefault="003C6750" w:rsidP="003C6750">
      <w:pPr>
        <w:pStyle w:val="Kop2"/>
      </w:pPr>
      <w:r w:rsidRPr="006C35DF">
        <w:t xml:space="preserve">Interventional therapies </w:t>
      </w:r>
    </w:p>
    <w:p w14:paraId="22936952" w14:textId="11D73083" w:rsidR="003C6750" w:rsidRPr="00877D13" w:rsidRDefault="003C6750" w:rsidP="003C6750">
      <w:pPr>
        <w:jc w:val="both"/>
        <w:rPr>
          <w:rFonts w:cstheme="minorHAnsi"/>
        </w:rPr>
      </w:pPr>
      <w:r w:rsidRPr="006C35DF">
        <w:rPr>
          <w:rFonts w:cstheme="minorHAnsi"/>
          <w:bCs/>
        </w:rPr>
        <w:t xml:space="preserve">Anecdotal evidence suggests that non neuro-ablative techniques should first line. However, neuro-ablative techniques include; glycerol injections, cryotherapy, balloon compression, thermocoagulation and other central procedures may be useful for recalcitrant cases </w:t>
      </w:r>
      <w:r w:rsidRPr="006C35DF">
        <w:rPr>
          <w:rFonts w:cstheme="minorHAnsi"/>
          <w:bCs/>
        </w:rPr>
        <w:fldChar w:fldCharType="begin" w:fldLock="1"/>
      </w:r>
      <w:r w:rsidRPr="006C35DF">
        <w:rPr>
          <w:rFonts w:cstheme="minorHAnsi"/>
          <w:bCs/>
        </w:rPr>
        <w:instrText>ADDIN CSL_CITATION {"citationItems":[{"id":"ITEM-1","itemData":{"DOI":"10.1159/000099918","ISSN":"1011-6125 (Print)","PMID":"9711711","abstract":"During a 3-year period, 25 caudalis dorsal root entry zone (DREZ) operations were  done for severe, facial pain. Intraoperative brainstem recordings were done before and after DREZ in all patients. Primary diagnosis included refractory trigeminal neuralgia, atypical headaches or facial pain, posttraumatic closed head injuries, postsurgical anesthesia dolorosa, multiple sclerosis, brainstem infarction, postherpetic neuralgia and cancer-related pain. At the time of discharge, good to excellent pain relief was present in 24/25 patients and fair relief in 1. At 1 month, 19/25 (76%) patients had good to excellent results and at 3 months following surgery, 17/25 (68%) continued to have good to excellent pain relief. One year following surgery, 18 patients could be evaluated, 12/18 (67%) still considered their relief as good to excellent, 2 fair and 4 poor. Transient postoperative ataxia was present in 15/25 patients (60%), but was largely resolved at 1 months. In 3/18 (17%) patients, a degree of ataxia was still present at 1 year although in none was it disabling. Two patients had transient diplopia, and 3 had increased corneal anesthesia with 1 later developing a keratitis. No surgical or postsurgical mortality was noted. This procedure has proven to be a satisfactory treatment for many patients with debilitating facial pain syndromes with acceptable morbidity.","author":[{"dropping-particle":"","family":"Bullard","given":"D E","non-dropping-particle":"","parse-names":false,"suffix":""},{"dropping-particle":"","family":"Nashold","given":"B S Jr","non-dropping-particle":"","parse-names":false,"suffix":""}],"container-title":"Stereotactic and functional neurosurgery","id":"ITEM-1","issue":"1-4 Pt 1","issued":{"date-parts":[["1997"]]},"language":"eng","page":"168-174","publisher-place":"Switzerland","title":"The caudalis DREZ for facial pain.","type":"article-journal","volume":"68"},"uris":["http://www.mendeley.com/documents/?uuid=dcc922b0-b023-4bb6-8bd7-5214df550a0b"]},{"id":"ITEM-2","itemData":{"DOI":"10.1016/j.surneu.2005.07.018","ISSN":"0090-3019 (Print)","PMID":"16256853","abstract":"BACKGROUND: Atypical facial pain (AFP) is a throbbing pain situated deep in the eye  and malar region, often radiating to the ear, neck, and shoulders. The pain generally is not within any dermatomal or anatomical boundaries. Atypical facial pain is distinct from trigeminal neuralgia and its variants. Therefore, the treatment of AFP should be specified. There is also no consensus in the treatment of AFP. Two different treatment procedures on the trigeminal tract and nucleus in a series of cases with AFP are presented. METHODS: Between 1989 and 2005, 17 patients with AFP, in whom previous therapies had failed, underwent computed tomography (CT)-guided percutaneous trigeminal tractotomy-nucleotomy (TR-NC). One patient with unfavorable response to TR-NC underwent trigeminal dorsal root entry zone (DREZ) operation. RESULTS: In the series with AFP, pain relief was achieved in all of the 17 cases. TR-NC provided maximum to inadequate degrees of pain relief in 16 of 17 patients. Dorsal root entry zone operation provided partial relief in 1 case. Neither mortality nor serious permanent complication was observed in the series. CONCLUSION: Neurosurgical procedures such as TR-NC or trigeminal DREZ operation may be effective in the treatment of intractable AFP. The primary choice of operation should be TR-NC because this procedure is minimally invasive. Trigeminal DREZ operation, which affects a larger spread area, may follow if TR-NC fails. The indications and procedure of choice should be individually tailored, depending on the type of pain, underlying pathology, and experience of the surgeon.","author":[{"dropping-particle":"","family":"Kanpolat","given":"Yücel","non-dropping-particle":"","parse-names":false,"suffix":""},{"dropping-particle":"","family":"Savas","given":"Ali","non-dropping-particle":"","parse-names":false,"suffix":""},{"dropping-particle":"","family":"Ugur","given":"Hasan Caglar","non-dropping-particle":"","parse-names":false,"suffix":""},{"dropping-particle":"","family":"Bozkurt","given":"Melih","non-dropping-particle":"","parse-names":false,"suffix":""}],"container-title":"Surgical neurology","id":"ITEM-2","issued":{"date-parts":[["2005"]]},"language":"eng","page":"S96-100; discussion S100-1","publisher-place":"United States","title":"The trigeminal tract and nucleus procedures in treatment of atypical facial pain.","type":"article-journal","volume":"64 Suppl 2"},"uris":["http://www.mendeley.com/documents/?uuid=ab272028-7858-4be1-89f4-1bdac7b21852"]}],"mendeley":{"formattedCitation":"(Bullard &amp; Nashold, 1997; Kanpolat et al., 2005)","plainTextFormattedCitation":"(Bullard &amp; Nashold, 1997; Kanpolat et al., 2005)","previouslyFormattedCitation":"(Bullard &amp; Nashold, 1997; Kanpolat et al., 2005)"},"properties":{"noteIndex":0},"schema":"https://github.com/citation-style-language/schema/raw/master/csl-citation.json"}</w:instrText>
      </w:r>
      <w:r w:rsidRPr="006C35DF">
        <w:rPr>
          <w:rFonts w:cstheme="minorHAnsi"/>
          <w:bCs/>
        </w:rPr>
        <w:fldChar w:fldCharType="separate"/>
      </w:r>
      <w:r w:rsidRPr="006C35DF">
        <w:rPr>
          <w:rFonts w:cstheme="minorHAnsi"/>
          <w:bCs/>
          <w:noProof/>
        </w:rPr>
        <w:t>(Bullard &amp; Nashold, 1997; Kanpolat et al., 2005)</w:t>
      </w:r>
      <w:r w:rsidRPr="006C35DF">
        <w:rPr>
          <w:rFonts w:cstheme="minorHAnsi"/>
          <w:bCs/>
        </w:rPr>
        <w:fldChar w:fldCharType="end"/>
      </w:r>
      <w:r w:rsidRPr="006C35DF">
        <w:rPr>
          <w:rFonts w:cstheme="minorHAnsi"/>
          <w:bCs/>
        </w:rPr>
        <w:t>. The authors suggest that the primary choice of operation should be minimally invasive, such as computed tomography-guided percutaneous trigeminal tractotomy–nucleotomy (surgical division of the descending ﬁbers of the trigeminal tract in the medulla) eﬀectively ablating pathways that carry sensation from the face.</w:t>
      </w:r>
    </w:p>
    <w:p w14:paraId="694FB4FB" w14:textId="77777777" w:rsidR="002A0DBF" w:rsidRDefault="002A0DBF" w:rsidP="002A0DBF">
      <w:pPr>
        <w:pStyle w:val="Kop1"/>
      </w:pPr>
      <w:r>
        <w:t>Differential diagnostic challenges</w:t>
      </w:r>
    </w:p>
    <w:p w14:paraId="324758E5" w14:textId="77777777" w:rsidR="002A0DBF" w:rsidRDefault="002A0DBF" w:rsidP="002A0DBF">
      <w:pPr>
        <w:pStyle w:val="Kop2"/>
      </w:pPr>
      <w:r w:rsidRPr="00587BC1">
        <w:t xml:space="preserve">Chronic </w:t>
      </w:r>
      <w:r>
        <w:t>p</w:t>
      </w:r>
      <w:r w:rsidRPr="00587BC1">
        <w:t>ost-</w:t>
      </w:r>
      <w:r>
        <w:t>s</w:t>
      </w:r>
      <w:r w:rsidRPr="00587BC1">
        <w:t xml:space="preserve">urgical </w:t>
      </w:r>
      <w:r>
        <w:t>p</w:t>
      </w:r>
      <w:r w:rsidRPr="00587BC1">
        <w:t>ain</w:t>
      </w:r>
      <w:r>
        <w:t xml:space="preserve"> </w:t>
      </w:r>
      <w:r w:rsidRPr="00587BC1">
        <w:t xml:space="preserve">or </w:t>
      </w:r>
      <w:r>
        <w:t>p</w:t>
      </w:r>
      <w:r w:rsidRPr="00587BC1">
        <w:t>ainfu</w:t>
      </w:r>
      <w:r>
        <w:t>l-p</w:t>
      </w:r>
      <w:r w:rsidRPr="00587BC1">
        <w:t>ost traumatic neuropathic pain</w:t>
      </w:r>
      <w:bookmarkStart w:id="1" w:name="_Hlk528955198"/>
      <w:r w:rsidRPr="00587BC1">
        <w:t xml:space="preserve">? </w:t>
      </w:r>
    </w:p>
    <w:p w14:paraId="762A146B" w14:textId="18A549D7" w:rsidR="002A0DBF" w:rsidRPr="00587BC1" w:rsidRDefault="002A0DBF" w:rsidP="002A0DBF">
      <w:r w:rsidRPr="00587BC1">
        <w:t xml:space="preserve">Over 30-40% of patients presenting in chronic pain clinics </w:t>
      </w:r>
      <w:r w:rsidR="006259B2">
        <w:t xml:space="preserve">are </w:t>
      </w:r>
      <w:r w:rsidRPr="00587BC1">
        <w:t>being diagnosed with CPSP</w:t>
      </w:r>
      <w:r w:rsidR="00950FB1">
        <w:t xml:space="preserve"> </w:t>
      </w:r>
      <w:r w:rsidR="00950FB1">
        <w:fldChar w:fldCharType="begin" w:fldLock="1"/>
      </w:r>
      <w:r w:rsidR="00DD5B97">
        <w:instrText>ADDIN CSL_CITATION {"citationItems":[{"id":"ITEM-1","itemData":{"DOI":"10.1177/204946371100500306","PMID":"26526062","abstract":"Chronic post-surgical pain (CPSP) is a recognised adverse consequence of surgery; surgery is common, therefore the population at risk is considerable.Putative risk factors for CPSP include genetic predisposition, demographic, clinical (pain history, type of surgery, anaesthesia, acute pain severity), and psychological factors (vulnerability vs resilience).Evidence of prevention is limited: long-term benefit from pre-emptive/perioperative analgesia has not been demonstrated consistently.Large scale prospective studies with detailed pre, intra and postoperative multifactorial assessments are required to refine understanding of the aetiology and prognosis of CPSP.","author":[{"dropping-particle":"","family":"Bruce","given":"Julie","non-dropping-particle":"","parse-names":false,"suffix":""},{"dropping-particle":"","family":"Quinlan","given":"Jane","non-dropping-particle":"","parse-names":false,"suffix":""}],"container-title":"Reviews in pain","id":"ITEM-1","issue":"3","issued":{"date-parts":[["2011","9"]]},"page":"23-9","title":"Chronic Post Surgical Pain.","type":"article-journal","volume":"5"},"uris":["http://www.mendeley.com/documents/?uuid=4d5a5cc0-c7c5-4188-92b9-19b5928c3350"]}],"mendeley":{"formattedCitation":"(Bruce &amp; Quinlan, 2011)","plainTextFormattedCitation":"(Bruce &amp; Quinlan, 2011)","previouslyFormattedCitation":"(Bruce &amp; Quinlan, 2011)"},"properties":{"noteIndex":0},"schema":"https://github.com/citation-style-language/schema/raw/master/csl-citation.json"}</w:instrText>
      </w:r>
      <w:r w:rsidR="00950FB1">
        <w:fldChar w:fldCharType="separate"/>
      </w:r>
      <w:r w:rsidR="00950FB1" w:rsidRPr="00950FB1">
        <w:rPr>
          <w:noProof/>
        </w:rPr>
        <w:t>(Bruce &amp; Quinlan, 2011)</w:t>
      </w:r>
      <w:r w:rsidR="00950FB1">
        <w:fldChar w:fldCharType="end"/>
      </w:r>
      <w:r w:rsidRPr="00587BC1">
        <w:t xml:space="preserve">. CPSP is associated with many surgical procedures including; limb amputation, breast surgery, thoracotomy and herniorrhaphy. CPSP of the trigeminal system has been reported following most dental procedures. </w:t>
      </w:r>
      <w:bookmarkStart w:id="2" w:name="_Hlk529032582"/>
      <w:bookmarkEnd w:id="1"/>
      <w:r w:rsidRPr="00587BC1">
        <w:t>Lobb and colleague</w:t>
      </w:r>
      <w:bookmarkEnd w:id="2"/>
      <w:r w:rsidR="000958B9">
        <w:t xml:space="preserve">s </w:t>
      </w:r>
      <w:r w:rsidRPr="00587BC1">
        <w:t>reported that most</w:t>
      </w:r>
      <w:r w:rsidRPr="00587BC1">
        <w:rPr>
          <w:bCs/>
        </w:rPr>
        <w:t xml:space="preserve"> patients suffering from phantom tooth pain did not return to the dentist, hence the likelihood that many dental surgeons underestimate chronic pain after their routine procedures</w:t>
      </w:r>
      <w:r w:rsidR="00DD5B97">
        <w:rPr>
          <w:bCs/>
        </w:rPr>
        <w:t xml:space="preserve"> </w:t>
      </w:r>
      <w:r w:rsidR="00DD5B97">
        <w:rPr>
          <w:bCs/>
        </w:rPr>
        <w:fldChar w:fldCharType="begin" w:fldLock="1"/>
      </w:r>
      <w:r w:rsidR="00352E69">
        <w:rPr>
          <w:bCs/>
        </w:rPr>
        <w:instrText>ADDIN CSL_CITATION {"citationItems":[{"id":"ITEM-1","itemData":{"DOI":"10.14219/jada.archive.1996.0271","ISSN":"0002-8177 (Print)","PMID":"8642139","abstract":"Patient's perceived problems related to endodontically treated teeth are an  important consideration for all dental practitioners. Chronic pain or restorative problems may occur that are not reported back to the attending dentist in a timely manner and thus may not be resolved. The authors conducted a study involving a one-year follow-up of endodontically treated patients. They offer suggestions for interventions that could minimize the reported problems.","author":[{"dropping-particle":"","family":"Lobb","given":"W K","non-dropping-particle":"","parse-names":false,"suffix":""},{"dropping-particle":"","family":"Zakariasen","given":"K L","non-dropping-particle":"","parse-names":false,"suffix":""},{"dropping-particle":"","family":"McGrath","given":"P J","non-dropping-particle":"","parse-names":false,"suffix":""}],"container-title":"Journal of the American Dental Association (1939)","id":"ITEM-1","issue":"5","issued":{"date-parts":[["1996","5"]]},"language":"eng","page":"597-600","publisher-place":"England","title":"Endodontic treatment outcomes: do patients perceive problems?","type":"article-journal","volume":"127"},"uris":["http://www.mendeley.com/documents/?uuid=6ad820bc-d44f-4190-ad20-69523a91451b"]}],"mendeley":{"formattedCitation":"(Lobb et al., 1996)","plainTextFormattedCitation":"(Lobb et al., 1996)","previouslyFormattedCitation":"(Lobb et al., 1996)"},"properties":{"noteIndex":0},"schema":"https://github.com/citation-style-language/schema/raw/master/csl-citation.json"}</w:instrText>
      </w:r>
      <w:r w:rsidR="00DD5B97">
        <w:rPr>
          <w:bCs/>
        </w:rPr>
        <w:fldChar w:fldCharType="separate"/>
      </w:r>
      <w:r w:rsidR="00DD5B97" w:rsidRPr="00DD5B97">
        <w:rPr>
          <w:bCs/>
          <w:noProof/>
        </w:rPr>
        <w:t>(Lobb et al., 1996)</w:t>
      </w:r>
      <w:r w:rsidR="00DD5B97">
        <w:rPr>
          <w:bCs/>
        </w:rPr>
        <w:fldChar w:fldCharType="end"/>
      </w:r>
      <w:r w:rsidRPr="00587BC1">
        <w:rPr>
          <w:bCs/>
        </w:rPr>
        <w:t>.</w:t>
      </w:r>
    </w:p>
    <w:p w14:paraId="73AA0FF6" w14:textId="73CCDAC7" w:rsidR="002A0DBF" w:rsidRPr="00352E69" w:rsidRDefault="002A0DBF" w:rsidP="00BA7499">
      <w:pPr>
        <w:rPr>
          <w:bCs/>
          <w:i/>
          <w:iCs/>
        </w:rPr>
      </w:pPr>
      <w:r w:rsidRPr="00587BC1">
        <w:t>Chronic post-surgical pain with neuropathic area within the trigeminal system is given many names (</w:t>
      </w:r>
      <w:r w:rsidR="0083029E">
        <w:t>p</w:t>
      </w:r>
      <w:r w:rsidRPr="00587BC1">
        <w:t>ost</w:t>
      </w:r>
      <w:r w:rsidR="0083029E">
        <w:t>-</w:t>
      </w:r>
      <w:r w:rsidRPr="00587BC1">
        <w:t xml:space="preserve">traumatic </w:t>
      </w:r>
      <w:r w:rsidR="0083029E">
        <w:t xml:space="preserve">trigeminal </w:t>
      </w:r>
      <w:r w:rsidRPr="00587BC1">
        <w:t>neuropathy, persistent idiopathic dentoalveolar pain, atypical odontalgia</w:t>
      </w:r>
      <w:r w:rsidR="00D13E6A">
        <w:t>, phantom tooth pain</w:t>
      </w:r>
      <w:r w:rsidRPr="00587BC1">
        <w:t xml:space="preserve">). </w:t>
      </w:r>
      <w:r w:rsidRPr="00587BC1">
        <w:rPr>
          <w:bCs/>
          <w:lang w:val="en-US"/>
        </w:rPr>
        <w:t xml:space="preserve">These may all be chronic post-surgical pain; however, many patients present without a neuropathic area necessary for a </w:t>
      </w:r>
      <w:r w:rsidR="00D13E6A">
        <w:rPr>
          <w:bCs/>
          <w:lang w:val="en-US"/>
        </w:rPr>
        <w:t>PTNP</w:t>
      </w:r>
      <w:r w:rsidRPr="00587BC1">
        <w:rPr>
          <w:bCs/>
          <w:lang w:val="en-US"/>
        </w:rPr>
        <w:t xml:space="preserve"> diagnosis. </w:t>
      </w:r>
      <w:r w:rsidR="00D13E6A">
        <w:t>PTNP</w:t>
      </w:r>
      <w:r w:rsidRPr="00587BC1">
        <w:t xml:space="preserve"> is not difficult to diagnose in relation to onset, often a traumatic event (third molar surgery, implant placement, </w:t>
      </w:r>
      <w:r w:rsidR="00D13E6A">
        <w:t>l</w:t>
      </w:r>
      <w:r w:rsidRPr="00587BC1">
        <w:t xml:space="preserve">ocal anaesthetic blocks and endodontic treatment). </w:t>
      </w:r>
      <w:r w:rsidR="00D13E6A">
        <w:t>A n</w:t>
      </w:r>
      <w:r w:rsidRPr="00587BC1">
        <w:t xml:space="preserve">europathic area may not be </w:t>
      </w:r>
      <w:r w:rsidR="008D11D4">
        <w:t xml:space="preserve">immediately </w:t>
      </w:r>
      <w:r w:rsidR="00352E69">
        <w:t>apparent but</w:t>
      </w:r>
      <w:r w:rsidRPr="00587BC1">
        <w:t xml:space="preserve"> is included the in ICHD3 diagnostic criteria.</w:t>
      </w:r>
      <w:r w:rsidR="00352E69">
        <w:t xml:space="preserve"> </w:t>
      </w:r>
      <w:r w:rsidRPr="00587BC1">
        <w:rPr>
          <w:bCs/>
        </w:rPr>
        <w:t xml:space="preserve">Elicited acute neuralgic pain to non-noxious stimuli (eating, tooth brushing, tooth tapping, cold) are features of </w:t>
      </w:r>
      <w:r w:rsidR="001A0CEF">
        <w:rPr>
          <w:bCs/>
        </w:rPr>
        <w:t>PTNP</w:t>
      </w:r>
      <w:r w:rsidRPr="00587BC1">
        <w:rPr>
          <w:bCs/>
        </w:rPr>
        <w:t xml:space="preserve"> and hence easily confused with various forms of toothache, primary headaches with neuralgic features </w:t>
      </w:r>
      <w:r w:rsidRPr="00587BC1">
        <w:rPr>
          <w:bCs/>
        </w:rPr>
        <w:lastRenderedPageBreak/>
        <w:t xml:space="preserve">(TACs) and </w:t>
      </w:r>
      <w:r w:rsidR="001A0CEF">
        <w:rPr>
          <w:bCs/>
        </w:rPr>
        <w:t>trigeminal neuralgia</w:t>
      </w:r>
      <w:r w:rsidRPr="00587BC1">
        <w:rPr>
          <w:bCs/>
        </w:rPr>
        <w:t xml:space="preserve">, however, there are validated </w:t>
      </w:r>
      <w:r w:rsidRPr="00587BC1">
        <w:t>neuropathic pain screening for PTNP</w:t>
      </w:r>
      <w:r w:rsidR="00543B4F">
        <w:t xml:space="preserve"> (LANSS, NPQ, DN4, PainDetect)</w:t>
      </w:r>
      <w:r w:rsidRPr="00587BC1">
        <w:t xml:space="preserve"> which may assist the clinician in differentiating neuropathic pa</w:t>
      </w:r>
      <w:r w:rsidR="00543B4F">
        <w:t>i</w:t>
      </w:r>
      <w:r w:rsidRPr="00587BC1">
        <w:t xml:space="preserve">n from neurovascular pain. </w:t>
      </w:r>
    </w:p>
    <w:p w14:paraId="5E334208" w14:textId="77777777" w:rsidR="002A0DBF" w:rsidRDefault="002A0DBF" w:rsidP="002A0DBF">
      <w:pPr>
        <w:pStyle w:val="Kop2"/>
      </w:pPr>
      <w:r w:rsidRPr="00587BC1">
        <w:t>Trigeminal neuralgia</w:t>
      </w:r>
      <w:bookmarkStart w:id="3" w:name="_Hlk528955391"/>
    </w:p>
    <w:p w14:paraId="142F3A97" w14:textId="1D60D581" w:rsidR="002A0DBF" w:rsidRPr="003514FE" w:rsidRDefault="002A0DBF" w:rsidP="002A0DBF">
      <w:pPr>
        <w:rPr>
          <w:bCs/>
          <w:vertAlign w:val="superscript"/>
        </w:rPr>
      </w:pPr>
      <w:r w:rsidRPr="00587BC1">
        <w:t xml:space="preserve">Secondary </w:t>
      </w:r>
      <w:r>
        <w:t>trigeminal neuralgy</w:t>
      </w:r>
      <w:r w:rsidRPr="00587BC1">
        <w:t xml:space="preserve"> may be due to demyelination in patients with multiple sclerosis or other diseases of the primary and or central nervous system. Trigeminal neuralgia is the most frequent cranial neuralgia</w:t>
      </w:r>
      <w:r w:rsidR="00352E69">
        <w:t>,</w:t>
      </w:r>
      <w:r w:rsidRPr="00587BC1">
        <w:t xml:space="preserve"> </w:t>
      </w:r>
      <w:r w:rsidRPr="00587BC1">
        <w:rPr>
          <w:bCs/>
        </w:rPr>
        <w:t xml:space="preserve">yet is a rare entity with reported incidences of 4.5 per 100,000, far lower than </w:t>
      </w:r>
      <w:r>
        <w:rPr>
          <w:bCs/>
        </w:rPr>
        <w:t xml:space="preserve">post-traumatic trigeminal </w:t>
      </w:r>
      <w:r w:rsidR="00BA7499">
        <w:rPr>
          <w:bCs/>
        </w:rPr>
        <w:t>neuropathy</w:t>
      </w:r>
      <w:r w:rsidRPr="00587BC1">
        <w:rPr>
          <w:bCs/>
        </w:rPr>
        <w:t>, more prevalent in females, and occurs more common in the 50–70-year-old age group</w:t>
      </w:r>
      <w:r w:rsidR="00352E69">
        <w:rPr>
          <w:bCs/>
        </w:rPr>
        <w:t xml:space="preserve"> </w:t>
      </w:r>
      <w:r w:rsidR="00352E69">
        <w:rPr>
          <w:bCs/>
        </w:rPr>
        <w:fldChar w:fldCharType="begin" w:fldLock="1"/>
      </w:r>
      <w:r w:rsidR="004C29F0">
        <w:rPr>
          <w:bCs/>
        </w:rPr>
        <w:instrText>ADDIN CSL_CITATION {"citationItems":[{"id":"ITEM-1","itemData":{"DOI":"10.1136/bmj.g474","ISSN":"17561833","PMID":"24534115","author":[{"dropping-particle":"","family":"Zakrzewska","given":"Joanna M.","non-dropping-particle":"","parse-names":false,"suffix":""},{"dropping-particle":"","family":"Linskey","given":"Mark E.","non-dropping-particle":"","parse-names":false,"suffix":""}],"container-title":"BMJ (Online)","id":"ITEM-1","issue":"February","issued":{"date-parts":[["2014"]]},"page":"1-9","title":"Trigeminal neuralgia","type":"article-journal","volume":"348"},"uris":["http://www.mendeley.com/documents/?uuid=5cac3025-d7a0-4cb4-a9b0-540317d6da38"]}],"mendeley":{"formattedCitation":"(Zakrzewska &amp; Linskey, 2014)","plainTextFormattedCitation":"(Zakrzewska &amp; Linskey, 2014)","previouslyFormattedCitation":"(Zakrzewska &amp; Linskey, 2014)"},"properties":{"noteIndex":0},"schema":"https://github.com/citation-style-language/schema/raw/master/csl-citation.json"}</w:instrText>
      </w:r>
      <w:r w:rsidR="00352E69">
        <w:rPr>
          <w:bCs/>
        </w:rPr>
        <w:fldChar w:fldCharType="separate"/>
      </w:r>
      <w:r w:rsidR="00352E69" w:rsidRPr="00352E69">
        <w:rPr>
          <w:bCs/>
          <w:noProof/>
        </w:rPr>
        <w:t>(Zakrzewska &amp; Linskey, 2014)</w:t>
      </w:r>
      <w:r w:rsidR="00352E69">
        <w:rPr>
          <w:bCs/>
        </w:rPr>
        <w:fldChar w:fldCharType="end"/>
      </w:r>
      <w:r w:rsidR="00352E69">
        <w:rPr>
          <w:bCs/>
        </w:rPr>
        <w:t>.</w:t>
      </w:r>
      <w:r w:rsidR="00F933BF">
        <w:rPr>
          <w:bCs/>
        </w:rPr>
        <w:t xml:space="preserve"> </w:t>
      </w:r>
      <w:r w:rsidR="00F933BF">
        <w:t>Trigeminal neuralgia</w:t>
      </w:r>
      <w:r w:rsidR="00F933BF" w:rsidRPr="00587BC1">
        <w:t xml:space="preserve"> mainly presents in the second and third dermatomes of the trigeminal nerve. The elicited, short lasting sharp, shooting, shock-like, burning and excruciating pain often starts spontaneously, lasting seconds and is often mistaken for toothache</w:t>
      </w:r>
      <w:r w:rsidR="00F933BF">
        <w:t>.</w:t>
      </w:r>
      <w:r w:rsidR="003514FE">
        <w:t xml:space="preserve"> </w:t>
      </w:r>
      <w:r w:rsidR="003514FE" w:rsidRPr="00587BC1">
        <w:rPr>
          <w:bCs/>
        </w:rPr>
        <w:t>The elicited neuralgic pain on eating, brushing teeth mimics cracked tooth, dentine hypersensitivity, reversible pulpitis. As the onset is usually after 50 years, the patients are also likely to have a heavily restored dentition making diagnosis of odontogenic pain more likely. Differential factors include pain that is likely to be elicited by extraoral sites, refractory period with cessation of elicited pain on continued stimulation</w:t>
      </w:r>
      <w:r w:rsidR="003514FE">
        <w:rPr>
          <w:bCs/>
        </w:rPr>
        <w:t xml:space="preserve">. </w:t>
      </w:r>
      <w:r w:rsidR="003514FE" w:rsidRPr="00587BC1">
        <w:t>The clinician must reflect on the history presentation and non-response to routine care. They must take a step back and use their pain history to guide their diagnosis rather than relying on investigations, particularly radiographs.</w:t>
      </w:r>
      <w:bookmarkEnd w:id="3"/>
      <w:r w:rsidR="003514FE">
        <w:rPr>
          <w:bCs/>
          <w:vertAlign w:val="superscript"/>
        </w:rPr>
        <w:t xml:space="preserve"> </w:t>
      </w:r>
      <w:r w:rsidRPr="00587BC1">
        <w:rPr>
          <w:bCs/>
        </w:rPr>
        <w:t xml:space="preserve">The aetiology and pathophysiology of </w:t>
      </w:r>
      <w:r>
        <w:rPr>
          <w:bCs/>
        </w:rPr>
        <w:t>c</w:t>
      </w:r>
      <w:r w:rsidRPr="00587BC1">
        <w:rPr>
          <w:bCs/>
        </w:rPr>
        <w:t xml:space="preserve">lassic </w:t>
      </w:r>
      <w:r>
        <w:rPr>
          <w:bCs/>
        </w:rPr>
        <w:t>trigeminal neuralgia</w:t>
      </w:r>
      <w:r w:rsidRPr="00587BC1">
        <w:rPr>
          <w:bCs/>
        </w:rPr>
        <w:t xml:space="preserve"> remains </w:t>
      </w:r>
      <w:proofErr w:type="gramStart"/>
      <w:r w:rsidRPr="00587BC1">
        <w:rPr>
          <w:bCs/>
        </w:rPr>
        <w:t>unknown, but</w:t>
      </w:r>
      <w:proofErr w:type="gramEnd"/>
      <w:r w:rsidRPr="00587BC1">
        <w:rPr>
          <w:bCs/>
        </w:rPr>
        <w:t xml:space="preserve"> is hypothesised to be due to the compression of the trigeminal root at or near the dorsal root entry zone by a blood vessel. Using ultra-high-filed MRI a </w:t>
      </w:r>
      <w:r w:rsidR="004C29F0">
        <w:rPr>
          <w:bCs/>
        </w:rPr>
        <w:t xml:space="preserve">neurovascular conflict may be present in both symptomatic and asymptomatic, healthy individuals, warranting careful interpretation of MRI results </w:t>
      </w:r>
      <w:r w:rsidR="004C29F0">
        <w:rPr>
          <w:bCs/>
        </w:rPr>
        <w:fldChar w:fldCharType="begin" w:fldLock="1"/>
      </w:r>
      <w:r w:rsidR="004C29F0">
        <w:rPr>
          <w:bCs/>
        </w:rPr>
        <w:instrText>ADDIN CSL_CITATION {"citationItems":[{"id":"ITEM-1","itemData":{"DOI":"10.1136/bmj.g474","ISSN":"17561833","PMID":"24534115","author":[{"dropping-particle":"","family":"Zakrzewska","given":"Joanna M.","non-dropping-particle":"","parse-names":false,"suffix":""},{"dropping-particle":"","family":"Linskey","given":"Mark E.","non-dropping-particle":"","parse-names":false,"suffix":""}],"container-title":"BMJ (Online)","id":"ITEM-1","issue":"February","issued":{"date-parts":[["2014"]]},"page":"1-9","title":"Trigeminal neuralgia","type":"article-journal","volume":"348"},"uris":["http://www.mendeley.com/documents/?uuid=5cac3025-d7a0-4cb4-a9b0-540317d6da38"]}],"mendeley":{"formattedCitation":"(Zakrzewska &amp; Linskey, 2014)","plainTextFormattedCitation":"(Zakrzewska &amp; Linskey, 2014)"},"properties":{"noteIndex":0},"schema":"https://github.com/citation-style-language/schema/raw/master/csl-citation.json"}</w:instrText>
      </w:r>
      <w:r w:rsidR="004C29F0">
        <w:rPr>
          <w:bCs/>
        </w:rPr>
        <w:fldChar w:fldCharType="separate"/>
      </w:r>
      <w:r w:rsidR="004C29F0" w:rsidRPr="004C29F0">
        <w:rPr>
          <w:bCs/>
          <w:noProof/>
        </w:rPr>
        <w:t>(Zakrzewska &amp; Linskey, 2014)</w:t>
      </w:r>
      <w:r w:rsidR="004C29F0">
        <w:rPr>
          <w:bCs/>
        </w:rPr>
        <w:fldChar w:fldCharType="end"/>
      </w:r>
      <w:r w:rsidR="004C29F0">
        <w:rPr>
          <w:bCs/>
        </w:rPr>
        <w:t xml:space="preserve">. </w:t>
      </w:r>
    </w:p>
    <w:p w14:paraId="46D8EB30" w14:textId="77777777" w:rsidR="002A0DBF" w:rsidRPr="00587BC1" w:rsidRDefault="002A0DBF" w:rsidP="002A0DBF">
      <w:pPr>
        <w:pStyle w:val="Kop2"/>
        <w:rPr>
          <w:bCs/>
        </w:rPr>
      </w:pPr>
      <w:r w:rsidRPr="00587BC1">
        <w:t xml:space="preserve">How can other causes of secondary </w:t>
      </w:r>
      <w:r>
        <w:t>neuropathic pain</w:t>
      </w:r>
      <w:r w:rsidRPr="00587BC1">
        <w:t xml:space="preserve"> mimic toothache or vice versa?</w:t>
      </w:r>
    </w:p>
    <w:p w14:paraId="0AC3603D" w14:textId="4C62370E" w:rsidR="002A0DBF" w:rsidRPr="00587BC1" w:rsidRDefault="002A0DBF" w:rsidP="002A0DBF">
      <w:pPr>
        <w:rPr>
          <w:b/>
          <w:bCs/>
          <w:i/>
          <w:vertAlign w:val="superscript"/>
        </w:rPr>
      </w:pPr>
      <w:r w:rsidRPr="00587BC1">
        <w:rPr>
          <w:b/>
          <w:i/>
        </w:rPr>
        <w:t xml:space="preserve">Diabetic peripheral neuropathy </w:t>
      </w:r>
      <w:r w:rsidRPr="00587BC1">
        <w:t xml:space="preserve">often affects patients with diabetes. This condition often presents in the lower limbs and has characteristic </w:t>
      </w:r>
      <w:r w:rsidR="0063238E">
        <w:t>neuropathic</w:t>
      </w:r>
      <w:r w:rsidRPr="00587BC1">
        <w:t xml:space="preserve"> features (numbness, tingling, poor balance and burning pain). The mechanism of </w:t>
      </w:r>
      <w:r w:rsidR="003514FE">
        <w:t>d</w:t>
      </w:r>
      <w:r w:rsidRPr="00587BC1">
        <w:t xml:space="preserve">iabetic </w:t>
      </w:r>
      <w:r w:rsidR="0063238E">
        <w:t>neuropathic pain</w:t>
      </w:r>
      <w:r w:rsidRPr="00587BC1">
        <w:t xml:space="preserve"> is unknown, and rarely affects the trigeminal system.</w:t>
      </w:r>
    </w:p>
    <w:p w14:paraId="044FC8CC" w14:textId="2DC39D71" w:rsidR="002A0DBF" w:rsidRPr="00587BC1" w:rsidRDefault="002A0DBF" w:rsidP="002A0DBF">
      <w:pPr>
        <w:rPr>
          <w:vertAlign w:val="superscript"/>
        </w:rPr>
      </w:pPr>
      <w:r w:rsidRPr="00587BC1">
        <w:rPr>
          <w:b/>
          <w:i/>
        </w:rPr>
        <w:t>HIV-associated sensory peripheral sensory neuropathy</w:t>
      </w:r>
      <w:r w:rsidRPr="00587BC1">
        <w:t xml:space="preserve"> (HIV-SN) is a common complication of treated or untreated HIV infection. HIV patients may be more at risk from Herpes Varicella Zoster infections causing herpes zoster and post herpetic neuralgia in the orofacial region.</w:t>
      </w:r>
    </w:p>
    <w:p w14:paraId="03D6FC46" w14:textId="5ADA0466" w:rsidR="002A0DBF" w:rsidRPr="00587BC1" w:rsidRDefault="002A0DBF" w:rsidP="002A0DBF">
      <w:pPr>
        <w:rPr>
          <w:vertAlign w:val="superscript"/>
        </w:rPr>
      </w:pPr>
      <w:r w:rsidRPr="00587BC1">
        <w:rPr>
          <w:b/>
          <w:i/>
        </w:rPr>
        <w:t>Postherpetic neuralgia (PHN)</w:t>
      </w:r>
      <w:r w:rsidRPr="00587BC1">
        <w:t xml:space="preserve"> Herpes zoster virus when reactivated (shingles) can cause </w:t>
      </w:r>
      <w:r w:rsidR="00694B14">
        <w:t>neuropathic pain</w:t>
      </w:r>
      <w:r w:rsidRPr="00587BC1">
        <w:t xml:space="preserve"> in the trigeminal region. PHN commonly presents in the ophthalmic branch of the trigeminal nerve with an annual incidence 3-4 per 10,000 population If the patient becomes immunocompetent (due to increasing age, HIV infection, cancer or immunosuppressive therapy), the virus can reactivate causing hypersensitisation (hyperexcitability) and loss of sensation, deafferentation (sensory nerve death or damage).</w:t>
      </w:r>
    </w:p>
    <w:p w14:paraId="6998CBD0" w14:textId="6C02588A" w:rsidR="002A0DBF" w:rsidRPr="00587BC1" w:rsidRDefault="002A0DBF" w:rsidP="002A0DBF">
      <w:pPr>
        <w:rPr>
          <w:vertAlign w:val="superscript"/>
        </w:rPr>
      </w:pPr>
      <w:r w:rsidRPr="00587BC1">
        <w:rPr>
          <w:b/>
          <w:i/>
        </w:rPr>
        <w:t>Chemotherapy-induced peripheral neuropathy (CIPN)</w:t>
      </w:r>
      <w:r w:rsidRPr="00587BC1">
        <w:t xml:space="preserve"> Chemotherapy for cancer frequently causes neurological complications which are dose-dependent and rarely presents in the trigeminal system. The drugs most neurotoxic include; platinum drugs, vinca alkaloids, bortezomib and taxanes. Patients with CIPN report characteristic </w:t>
      </w:r>
      <w:r w:rsidR="00396F22">
        <w:t>neuropathic pain</w:t>
      </w:r>
      <w:r w:rsidRPr="00587BC1">
        <w:t xml:space="preserve"> symptoms of pain and numbness but often as symmetric and distal, with a “glove and stocking” distribution which rarely affects the trigeminal region. In most cases, CIPN improves after the therapy; however, with cisplatin and oxaliplatin, </w:t>
      </w:r>
      <w:r w:rsidR="00396F22">
        <w:t>neuropathic pain</w:t>
      </w:r>
      <w:r w:rsidRPr="00587BC1">
        <w:t xml:space="preserve"> may be progressive</w:t>
      </w:r>
      <w:r w:rsidR="003514FE">
        <w:t>.</w:t>
      </w:r>
    </w:p>
    <w:p w14:paraId="25CFE838" w14:textId="77777777" w:rsidR="002A0DBF" w:rsidRPr="00587BC1" w:rsidRDefault="002A0DBF" w:rsidP="002A0DBF">
      <w:pPr>
        <w:rPr>
          <w:b/>
          <w:bCs/>
          <w:i/>
        </w:rPr>
      </w:pPr>
      <w:r w:rsidRPr="00587BC1">
        <w:rPr>
          <w:b/>
          <w:bCs/>
          <w:i/>
        </w:rPr>
        <w:t xml:space="preserve">Sickle cell disease or </w:t>
      </w:r>
      <w:r>
        <w:rPr>
          <w:b/>
          <w:bCs/>
          <w:i/>
        </w:rPr>
        <w:t>c</w:t>
      </w:r>
      <w:r w:rsidRPr="00587BC1">
        <w:rPr>
          <w:b/>
          <w:bCs/>
          <w:i/>
        </w:rPr>
        <w:t>entral and peripheral pathology causing secondary painful neuropathy</w:t>
      </w:r>
    </w:p>
    <w:p w14:paraId="5D48847B" w14:textId="2721412E" w:rsidR="002A0DBF" w:rsidRPr="004607B9" w:rsidRDefault="002A0DBF" w:rsidP="004607B9">
      <w:pPr>
        <w:rPr>
          <w:vertAlign w:val="superscript"/>
        </w:rPr>
      </w:pPr>
      <w:r w:rsidRPr="00587BC1">
        <w:t xml:space="preserve">Non iatrogenic causes of </w:t>
      </w:r>
      <w:r w:rsidR="004607B9">
        <w:t>trigeminal neuropathic pain</w:t>
      </w:r>
      <w:r w:rsidRPr="00587BC1">
        <w:t xml:space="preserve"> in 372 patients was 10.5%. These were caused by malignancy (20%), and infection (40%). Rarer causes included; sickle-cell anaemia, </w:t>
      </w:r>
      <w:r>
        <w:t>P</w:t>
      </w:r>
      <w:r w:rsidRPr="00587BC1">
        <w:t>aget’s Disease and multiple sclerosis, highlighting the importance to the clinician of considering differential diagnoses and urgent referral when indicated.</w:t>
      </w:r>
    </w:p>
    <w:p w14:paraId="420F4A89" w14:textId="77777777" w:rsidR="003C6750" w:rsidRPr="006C35DF" w:rsidRDefault="003C6750" w:rsidP="003C6750">
      <w:pPr>
        <w:pStyle w:val="Kop1"/>
        <w:jc w:val="both"/>
      </w:pPr>
      <w:r>
        <w:t>Summary</w:t>
      </w:r>
    </w:p>
    <w:p w14:paraId="5FAB3A2A" w14:textId="77777777" w:rsidR="003C6750" w:rsidRPr="00CD7979" w:rsidRDefault="003C6750" w:rsidP="003C6750">
      <w:pPr>
        <w:jc w:val="both"/>
        <w:rPr>
          <w:rStyle w:val="A0"/>
          <w:rFonts w:cstheme="minorHAnsi"/>
          <w:bCs/>
          <w:color w:val="auto"/>
          <w:sz w:val="18"/>
          <w:szCs w:val="18"/>
        </w:rPr>
      </w:pPr>
      <w:r w:rsidRPr="00CD7979">
        <w:rPr>
          <w:rFonts w:cstheme="minorHAnsi"/>
          <w:bCs/>
          <w:szCs w:val="18"/>
        </w:rPr>
        <w:t xml:space="preserve">Post-traumatic trigeminal neuropathic pain may be caused by many dental and oro-maxillofacial procedures and have a significant impact on our patients. Diagnosis can be difficult due to referral delay and interim numerous misguided interventions or investigations. Additionally, comorbid and mimicking pain conditions are common. International diagnostic criteria are available and should be implemented in everyday practice. Many therapeutic options are available. Unfortunately, none of these interventions’ ‘fix’ the patient, but the aim is to manage their symptoms as best as possible, improve function and allow them time to accommodate to these unfortunate events, which is often not very satisfactory. </w:t>
      </w:r>
      <w:r w:rsidRPr="00CD7979">
        <w:rPr>
          <w:rStyle w:val="A0"/>
          <w:rFonts w:cstheme="minorHAnsi"/>
          <w:bCs/>
          <w:color w:val="auto"/>
          <w:sz w:val="18"/>
          <w:szCs w:val="18"/>
        </w:rPr>
        <w:t>This chapter was intended to acknowledge and share some key issues around iatrogenic trigeminal nerve injuries resulting in post-traumatic trigeminal neuropathic pain and to provide some key take home messages.</w:t>
      </w:r>
    </w:p>
    <w:tbl>
      <w:tblPr>
        <w:tblStyle w:val="Tabelraster"/>
        <w:tblW w:w="0" w:type="auto"/>
        <w:tblLook w:val="04A0" w:firstRow="1" w:lastRow="0" w:firstColumn="1" w:lastColumn="0" w:noHBand="0" w:noVBand="1"/>
      </w:tblPr>
      <w:tblGrid>
        <w:gridCol w:w="9016"/>
      </w:tblGrid>
      <w:tr w:rsidR="003C6750" w:rsidRPr="00CD7979" w14:paraId="049B1F37" w14:textId="77777777" w:rsidTr="00B7130A">
        <w:tc>
          <w:tcPr>
            <w:tcW w:w="9016" w:type="dxa"/>
          </w:tcPr>
          <w:p w14:paraId="46E359A4" w14:textId="77777777" w:rsidR="003C6750" w:rsidRPr="00CD7979" w:rsidRDefault="003C6750" w:rsidP="00B7130A">
            <w:pPr>
              <w:jc w:val="both"/>
              <w:rPr>
                <w:rStyle w:val="A0"/>
                <w:rFonts w:asciiTheme="minorHAnsi" w:hAnsiTheme="minorHAnsi" w:cstheme="minorHAnsi"/>
                <w:b/>
                <w:color w:val="auto"/>
                <w:sz w:val="18"/>
                <w:szCs w:val="18"/>
              </w:rPr>
            </w:pPr>
            <w:r w:rsidRPr="00CD7979">
              <w:rPr>
                <w:rStyle w:val="A0"/>
                <w:rFonts w:asciiTheme="minorHAnsi" w:hAnsiTheme="minorHAnsi" w:cstheme="minorHAnsi"/>
                <w:b/>
                <w:color w:val="auto"/>
                <w:sz w:val="18"/>
                <w:szCs w:val="18"/>
              </w:rPr>
              <w:t>Take home messages</w:t>
            </w:r>
          </w:p>
          <w:p w14:paraId="1AF2B023" w14:textId="77777777" w:rsidR="003C6750" w:rsidRPr="00CD7979" w:rsidRDefault="003C6750" w:rsidP="003C6750">
            <w:pPr>
              <w:pStyle w:val="Lijstalinea"/>
              <w:numPr>
                <w:ilvl w:val="0"/>
                <w:numId w:val="6"/>
              </w:numPr>
              <w:jc w:val="both"/>
              <w:rPr>
                <w:rStyle w:val="A0"/>
                <w:rFonts w:asciiTheme="minorHAnsi" w:eastAsia="MS Mincho" w:hAnsiTheme="minorHAnsi" w:cstheme="minorHAnsi"/>
                <w:bCs/>
                <w:color w:val="auto"/>
                <w:sz w:val="18"/>
                <w:szCs w:val="18"/>
              </w:rPr>
            </w:pPr>
            <w:r w:rsidRPr="00CD7979">
              <w:rPr>
                <w:rStyle w:val="A0"/>
                <w:rFonts w:asciiTheme="minorHAnsi" w:eastAsia="MS Mincho" w:hAnsiTheme="minorHAnsi" w:cstheme="minorHAnsi"/>
                <w:bCs/>
                <w:color w:val="auto"/>
                <w:sz w:val="18"/>
                <w:szCs w:val="18"/>
              </w:rPr>
              <w:lastRenderedPageBreak/>
              <w:t>Neuropathic pain as well as altered sensation and numbness is what most patients experience with iatrogenic sensory nerve injury. This has a significant and unpleasant effect on the patient (improve your consent!)</w:t>
            </w:r>
          </w:p>
          <w:p w14:paraId="6B5BF419" w14:textId="0CE0BDA7" w:rsidR="003C6750" w:rsidRPr="00CD7979" w:rsidRDefault="003C6750" w:rsidP="003C6750">
            <w:pPr>
              <w:pStyle w:val="Lijstalinea"/>
              <w:numPr>
                <w:ilvl w:val="0"/>
                <w:numId w:val="6"/>
              </w:numPr>
              <w:jc w:val="both"/>
              <w:rPr>
                <w:rStyle w:val="A0"/>
                <w:rFonts w:asciiTheme="minorHAnsi" w:eastAsia="MS Mincho" w:hAnsiTheme="minorHAnsi" w:cstheme="minorHAnsi"/>
                <w:bCs/>
                <w:color w:val="auto"/>
                <w:sz w:val="18"/>
                <w:szCs w:val="18"/>
              </w:rPr>
            </w:pPr>
            <w:r w:rsidRPr="00CD7979">
              <w:rPr>
                <w:rStyle w:val="A0"/>
                <w:rFonts w:asciiTheme="minorHAnsi" w:eastAsia="MS Mincho" w:hAnsiTheme="minorHAnsi" w:cstheme="minorHAnsi"/>
                <w:bCs/>
                <w:color w:val="auto"/>
                <w:sz w:val="18"/>
                <w:szCs w:val="18"/>
              </w:rPr>
              <w:t xml:space="preserve">The majority of </w:t>
            </w:r>
            <w:r w:rsidRPr="00E1055C">
              <w:rPr>
                <w:rStyle w:val="A0"/>
                <w:rFonts w:ascii="Calibri" w:eastAsia="MS Mincho" w:hAnsi="Calibri" w:cs="Calibri"/>
                <w:bCs/>
                <w:color w:val="auto"/>
                <w:sz w:val="18"/>
                <w:szCs w:val="18"/>
              </w:rPr>
              <w:t>iatrogenic</w:t>
            </w:r>
            <w:r w:rsidR="00E1055C" w:rsidRPr="00E1055C">
              <w:rPr>
                <w:rStyle w:val="A0"/>
                <w:rFonts w:ascii="Calibri" w:eastAsia="MS Mincho" w:hAnsi="Calibri" w:cs="Calibri"/>
                <w:bCs/>
                <w:color w:val="auto"/>
                <w:sz w:val="18"/>
                <w:szCs w:val="18"/>
              </w:rPr>
              <w:t xml:space="preserve"> </w:t>
            </w:r>
            <w:r w:rsidR="00E1055C" w:rsidRPr="00E1055C">
              <w:rPr>
                <w:rStyle w:val="A0"/>
                <w:rFonts w:ascii="Calibri" w:eastAsia="MS Mincho" w:hAnsi="Calibri" w:cs="Calibri"/>
                <w:bCs/>
                <w:sz w:val="18"/>
                <w:szCs w:val="18"/>
              </w:rPr>
              <w:t>trigeminal</w:t>
            </w:r>
            <w:r w:rsidRPr="00E1055C">
              <w:rPr>
                <w:rStyle w:val="A0"/>
                <w:rFonts w:ascii="Calibri" w:eastAsia="MS Mincho" w:hAnsi="Calibri" w:cs="Calibri"/>
                <w:bCs/>
                <w:color w:val="auto"/>
                <w:sz w:val="18"/>
                <w:szCs w:val="18"/>
              </w:rPr>
              <w:t xml:space="preserve"> nerve</w:t>
            </w:r>
            <w:r w:rsidRPr="00CD7979">
              <w:rPr>
                <w:rStyle w:val="A0"/>
                <w:rFonts w:asciiTheme="minorHAnsi" w:eastAsia="MS Mincho" w:hAnsiTheme="minorHAnsi" w:cstheme="minorHAnsi"/>
                <w:bCs/>
                <w:color w:val="auto"/>
                <w:sz w:val="18"/>
                <w:szCs w:val="18"/>
              </w:rPr>
              <w:t xml:space="preserve"> injuries are avoidable</w:t>
            </w:r>
          </w:p>
          <w:p w14:paraId="41B04490" w14:textId="390EEC9A" w:rsidR="003C6750" w:rsidRPr="00CD7979" w:rsidRDefault="003C6750" w:rsidP="003C6750">
            <w:pPr>
              <w:pStyle w:val="Lijstalinea"/>
              <w:numPr>
                <w:ilvl w:val="0"/>
                <w:numId w:val="6"/>
              </w:numPr>
              <w:jc w:val="both"/>
              <w:rPr>
                <w:rStyle w:val="A0"/>
                <w:rFonts w:asciiTheme="minorHAnsi" w:eastAsia="MS Mincho" w:hAnsiTheme="minorHAnsi" w:cstheme="minorHAnsi"/>
                <w:bCs/>
                <w:color w:val="auto"/>
                <w:sz w:val="18"/>
                <w:szCs w:val="18"/>
              </w:rPr>
            </w:pPr>
            <w:r w:rsidRPr="00CD7979">
              <w:rPr>
                <w:rStyle w:val="A0"/>
                <w:rFonts w:asciiTheme="minorHAnsi" w:eastAsia="MS Mincho" w:hAnsiTheme="minorHAnsi" w:cstheme="minorHAnsi"/>
                <w:bCs/>
                <w:color w:val="auto"/>
                <w:sz w:val="18"/>
                <w:szCs w:val="18"/>
              </w:rPr>
              <w:t>Inferior alveolar nerve injuries in relation to implant and endodontic dentistry are painful and permanent</w:t>
            </w:r>
            <w:r w:rsidR="000606C9">
              <w:rPr>
                <w:rStyle w:val="A0"/>
                <w:rFonts w:asciiTheme="minorHAnsi" w:eastAsia="MS Mincho" w:hAnsiTheme="minorHAnsi" w:cstheme="minorHAnsi"/>
                <w:bCs/>
                <w:color w:val="auto"/>
                <w:sz w:val="18"/>
                <w:szCs w:val="18"/>
              </w:rPr>
              <w:t xml:space="preserve">. They can be </w:t>
            </w:r>
            <w:r w:rsidRPr="00CD7979">
              <w:rPr>
                <w:rStyle w:val="A0"/>
                <w:rFonts w:asciiTheme="minorHAnsi" w:eastAsia="MS Mincho" w:hAnsiTheme="minorHAnsi" w:cstheme="minorHAnsi"/>
                <w:bCs/>
                <w:color w:val="auto"/>
                <w:sz w:val="18"/>
                <w:szCs w:val="18"/>
              </w:rPr>
              <w:t>optimally reversed when treated quickly within 30 hours.</w:t>
            </w:r>
          </w:p>
          <w:p w14:paraId="22432E4B" w14:textId="77777777" w:rsidR="003C6750" w:rsidRPr="00CD7979" w:rsidRDefault="003C6750" w:rsidP="003C6750">
            <w:pPr>
              <w:pStyle w:val="Lijstalinea"/>
              <w:numPr>
                <w:ilvl w:val="0"/>
                <w:numId w:val="6"/>
              </w:numPr>
              <w:jc w:val="both"/>
              <w:rPr>
                <w:rStyle w:val="A0"/>
                <w:rFonts w:asciiTheme="minorHAnsi" w:eastAsia="MS Mincho" w:hAnsiTheme="minorHAnsi" w:cstheme="minorHAnsi"/>
                <w:bCs/>
                <w:color w:val="auto"/>
                <w:sz w:val="18"/>
                <w:szCs w:val="18"/>
              </w:rPr>
            </w:pPr>
            <w:r w:rsidRPr="00CD7979">
              <w:rPr>
                <w:rFonts w:asciiTheme="minorHAnsi" w:eastAsia="MS Mincho" w:hAnsiTheme="minorHAnsi" w:cstheme="minorHAnsi"/>
                <w:bCs/>
                <w:sz w:val="18"/>
                <w:szCs w:val="18"/>
              </w:rPr>
              <w:t xml:space="preserve">Owing to the significant problems following nerve injury, pre-operative strategies for minimizing this risk of nerve damage need to be considered carefully. </w:t>
            </w:r>
            <w:r w:rsidRPr="00CD7979">
              <w:rPr>
                <w:rStyle w:val="A0"/>
                <w:rFonts w:asciiTheme="minorHAnsi" w:eastAsia="MS Mincho" w:hAnsiTheme="minorHAnsi" w:cstheme="minorHAnsi"/>
                <w:bCs/>
                <w:color w:val="auto"/>
                <w:sz w:val="18"/>
                <w:szCs w:val="18"/>
              </w:rPr>
              <w:t>Peri-operative planning, operative execution and post-operative care needs improving to minimise and hopefully abolish these injuries</w:t>
            </w:r>
          </w:p>
          <w:p w14:paraId="53692AC8" w14:textId="77777777" w:rsidR="003C6750" w:rsidRPr="00CD7979" w:rsidRDefault="003C6750" w:rsidP="003C6750">
            <w:pPr>
              <w:pStyle w:val="Lijstalinea"/>
              <w:numPr>
                <w:ilvl w:val="0"/>
                <w:numId w:val="6"/>
              </w:numPr>
              <w:jc w:val="both"/>
              <w:rPr>
                <w:rStyle w:val="A0"/>
                <w:rFonts w:asciiTheme="minorHAnsi" w:eastAsia="MS Mincho" w:hAnsiTheme="minorHAnsi" w:cstheme="minorHAnsi"/>
                <w:bCs/>
                <w:color w:val="auto"/>
                <w:sz w:val="18"/>
                <w:szCs w:val="18"/>
              </w:rPr>
            </w:pPr>
            <w:r w:rsidRPr="00CD7979">
              <w:rPr>
                <w:rFonts w:asciiTheme="minorHAnsi" w:eastAsia="MS Mincho" w:hAnsiTheme="minorHAnsi" w:cstheme="minorHAnsi"/>
                <w:bCs/>
                <w:sz w:val="18"/>
                <w:szCs w:val="18"/>
              </w:rPr>
              <w:t>There is a need for a consensus and standardisation of risk assessment and management, a holistic approach in managing the neuropathic pain, related effect on functionality and psychological implications caused to the patients affected by iatrogenic nerve injury.</w:t>
            </w:r>
          </w:p>
        </w:tc>
      </w:tr>
    </w:tbl>
    <w:p w14:paraId="4585A714" w14:textId="77777777" w:rsidR="003C6750" w:rsidRDefault="003C6750" w:rsidP="003C6750">
      <w:pPr>
        <w:pStyle w:val="Kop1"/>
      </w:pPr>
      <w:r>
        <w:lastRenderedPageBreak/>
        <w:t>Bibliography</w:t>
      </w:r>
    </w:p>
    <w:p w14:paraId="44D002DD" w14:textId="3885A68A" w:rsidR="004C29F0" w:rsidRPr="004C29F0" w:rsidRDefault="002A0DBF" w:rsidP="004C29F0">
      <w:pPr>
        <w:widowControl w:val="0"/>
        <w:autoSpaceDE w:val="0"/>
        <w:autoSpaceDN w:val="0"/>
        <w:adjustRightInd w:val="0"/>
        <w:spacing w:line="240" w:lineRule="auto"/>
        <w:ind w:left="480" w:hanging="480"/>
        <w:rPr>
          <w:rFonts w:ascii="Calibri" w:hAnsi="Calibri" w:cs="Calibri"/>
          <w:noProof/>
          <w:lang w:val="nl-NL"/>
        </w:rPr>
      </w:pPr>
      <w:r>
        <w:fldChar w:fldCharType="begin" w:fldLock="1"/>
      </w:r>
      <w:r>
        <w:instrText xml:space="preserve">ADDIN Mendeley Bibliography CSL_BIBLIOGRAPHY </w:instrText>
      </w:r>
      <w:r>
        <w:fldChar w:fldCharType="separate"/>
      </w:r>
      <w:r w:rsidR="004C29F0" w:rsidRPr="004C29F0">
        <w:rPr>
          <w:rFonts w:ascii="Calibri" w:hAnsi="Calibri" w:cs="Calibri"/>
          <w:noProof/>
          <w:lang w:val="nl-NL"/>
        </w:rPr>
        <w:t xml:space="preserve">Argoff, C. E. (2006). Topical agents for the treatment of chronic pain. </w:t>
      </w:r>
      <w:r w:rsidR="004C29F0" w:rsidRPr="004C29F0">
        <w:rPr>
          <w:rFonts w:ascii="Calibri" w:hAnsi="Calibri" w:cs="Calibri"/>
          <w:i/>
          <w:iCs/>
          <w:noProof/>
          <w:lang w:val="nl-NL"/>
        </w:rPr>
        <w:t>Current Pain and Headache Reports</w:t>
      </w:r>
      <w:r w:rsidR="004C29F0" w:rsidRPr="004C29F0">
        <w:rPr>
          <w:rFonts w:ascii="Calibri" w:hAnsi="Calibri" w:cs="Calibri"/>
          <w:noProof/>
          <w:lang w:val="nl-NL"/>
        </w:rPr>
        <w:t xml:space="preserve">, </w:t>
      </w:r>
      <w:r w:rsidR="004C29F0" w:rsidRPr="004C29F0">
        <w:rPr>
          <w:rFonts w:ascii="Calibri" w:hAnsi="Calibri" w:cs="Calibri"/>
          <w:i/>
          <w:iCs/>
          <w:noProof/>
          <w:lang w:val="nl-NL"/>
        </w:rPr>
        <w:t>10</w:t>
      </w:r>
      <w:r w:rsidR="004C29F0" w:rsidRPr="004C29F0">
        <w:rPr>
          <w:rFonts w:ascii="Calibri" w:hAnsi="Calibri" w:cs="Calibri"/>
          <w:noProof/>
          <w:lang w:val="nl-NL"/>
        </w:rPr>
        <w:t>(1), 11–19. https://doi.org/10.1007/s11916-006-0004-4</w:t>
      </w:r>
    </w:p>
    <w:p w14:paraId="7B0AA190"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Benoliel, R., Zadik, Y., Eliav, E., &amp; Sharav, Y. (2012). Peripheral painful traumatic trigeminal neuropathy: clinical features in 91 cases and proposal of novel diagnostic criteria. </w:t>
      </w:r>
      <w:r w:rsidRPr="004C29F0">
        <w:rPr>
          <w:rFonts w:ascii="Calibri" w:hAnsi="Calibri" w:cs="Calibri"/>
          <w:i/>
          <w:iCs/>
          <w:noProof/>
          <w:lang w:val="nl-NL"/>
        </w:rPr>
        <w:t>Journal of Orofacial Pain</w:t>
      </w:r>
      <w:r w:rsidRPr="004C29F0">
        <w:rPr>
          <w:rFonts w:ascii="Calibri" w:hAnsi="Calibri" w:cs="Calibri"/>
          <w:noProof/>
          <w:lang w:val="nl-NL"/>
        </w:rPr>
        <w:t xml:space="preserve">, </w:t>
      </w:r>
      <w:r w:rsidRPr="004C29F0">
        <w:rPr>
          <w:rFonts w:ascii="Calibri" w:hAnsi="Calibri" w:cs="Calibri"/>
          <w:i/>
          <w:iCs/>
          <w:noProof/>
          <w:lang w:val="nl-NL"/>
        </w:rPr>
        <w:t>26</w:t>
      </w:r>
      <w:r w:rsidRPr="004C29F0">
        <w:rPr>
          <w:rFonts w:ascii="Calibri" w:hAnsi="Calibri" w:cs="Calibri"/>
          <w:noProof/>
          <w:lang w:val="nl-NL"/>
        </w:rPr>
        <w:t>(1), 49–58.</w:t>
      </w:r>
    </w:p>
    <w:p w14:paraId="61E503E0"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Bruce, J., &amp; Quinlan, J. (2011). Chronic Post Surgical Pain. </w:t>
      </w:r>
      <w:r w:rsidRPr="004C29F0">
        <w:rPr>
          <w:rFonts w:ascii="Calibri" w:hAnsi="Calibri" w:cs="Calibri"/>
          <w:i/>
          <w:iCs/>
          <w:noProof/>
          <w:lang w:val="nl-NL"/>
        </w:rPr>
        <w:t>Reviews in Pain</w:t>
      </w:r>
      <w:r w:rsidRPr="004C29F0">
        <w:rPr>
          <w:rFonts w:ascii="Calibri" w:hAnsi="Calibri" w:cs="Calibri"/>
          <w:noProof/>
          <w:lang w:val="nl-NL"/>
        </w:rPr>
        <w:t xml:space="preserve">, </w:t>
      </w:r>
      <w:r w:rsidRPr="004C29F0">
        <w:rPr>
          <w:rFonts w:ascii="Calibri" w:hAnsi="Calibri" w:cs="Calibri"/>
          <w:i/>
          <w:iCs/>
          <w:noProof/>
          <w:lang w:val="nl-NL"/>
        </w:rPr>
        <w:t>5</w:t>
      </w:r>
      <w:r w:rsidRPr="004C29F0">
        <w:rPr>
          <w:rFonts w:ascii="Calibri" w:hAnsi="Calibri" w:cs="Calibri"/>
          <w:noProof/>
          <w:lang w:val="nl-NL"/>
        </w:rPr>
        <w:t>(3), 23–29. https://doi.org/10.1177/204946371100500306</w:t>
      </w:r>
    </w:p>
    <w:p w14:paraId="29D29E3D"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Bullard, D. E., &amp; Nashold, B. S. J. (1997). The caudalis DREZ for facial pain. </w:t>
      </w:r>
      <w:r w:rsidRPr="004C29F0">
        <w:rPr>
          <w:rFonts w:ascii="Calibri" w:hAnsi="Calibri" w:cs="Calibri"/>
          <w:i/>
          <w:iCs/>
          <w:noProof/>
          <w:lang w:val="nl-NL"/>
        </w:rPr>
        <w:t>Stereotactic and Functional Neurosurgery</w:t>
      </w:r>
      <w:r w:rsidRPr="004C29F0">
        <w:rPr>
          <w:rFonts w:ascii="Calibri" w:hAnsi="Calibri" w:cs="Calibri"/>
          <w:noProof/>
          <w:lang w:val="nl-NL"/>
        </w:rPr>
        <w:t xml:space="preserve">, </w:t>
      </w:r>
      <w:r w:rsidRPr="004C29F0">
        <w:rPr>
          <w:rFonts w:ascii="Calibri" w:hAnsi="Calibri" w:cs="Calibri"/>
          <w:i/>
          <w:iCs/>
          <w:noProof/>
          <w:lang w:val="nl-NL"/>
        </w:rPr>
        <w:t>68</w:t>
      </w:r>
      <w:r w:rsidRPr="004C29F0">
        <w:rPr>
          <w:rFonts w:ascii="Calibri" w:hAnsi="Calibri" w:cs="Calibri"/>
          <w:noProof/>
          <w:lang w:val="nl-NL"/>
        </w:rPr>
        <w:t>(1-4 Pt 1), 168–174. https://doi.org/10.1159/000099918</w:t>
      </w:r>
    </w:p>
    <w:p w14:paraId="100D594A"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Caissie, R., Goulet, J., Fortin, M., &amp; Morielli, D. (2005). Iatrogenic paresthesia in the third division of the trigeminal nerve: 12 Years of clinical experience. </w:t>
      </w:r>
      <w:r w:rsidRPr="004C29F0">
        <w:rPr>
          <w:rFonts w:ascii="Calibri" w:hAnsi="Calibri" w:cs="Calibri"/>
          <w:i/>
          <w:iCs/>
          <w:noProof/>
          <w:lang w:val="nl-NL"/>
        </w:rPr>
        <w:t>Journal of the Canadian Dental Association</w:t>
      </w:r>
      <w:r w:rsidRPr="004C29F0">
        <w:rPr>
          <w:rFonts w:ascii="Calibri" w:hAnsi="Calibri" w:cs="Calibri"/>
          <w:noProof/>
          <w:lang w:val="nl-NL"/>
        </w:rPr>
        <w:t xml:space="preserve">, </w:t>
      </w:r>
      <w:r w:rsidRPr="004C29F0">
        <w:rPr>
          <w:rFonts w:ascii="Calibri" w:hAnsi="Calibri" w:cs="Calibri"/>
          <w:i/>
          <w:iCs/>
          <w:noProof/>
          <w:lang w:val="nl-NL"/>
        </w:rPr>
        <w:t>71</w:t>
      </w:r>
      <w:r w:rsidRPr="004C29F0">
        <w:rPr>
          <w:rFonts w:ascii="Calibri" w:hAnsi="Calibri" w:cs="Calibri"/>
          <w:noProof/>
          <w:lang w:val="nl-NL"/>
        </w:rPr>
        <w:t>(3), 185–190.</w:t>
      </w:r>
    </w:p>
    <w:p w14:paraId="6B27182A"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Chhabra, A., Andreisek, G., Soldatos, T., Wang, K. C., Flammang, A. J., Belzberg, A. J., &amp; Carrino, J. A. (2011). MR Neurography: Past, Present, and Future. </w:t>
      </w:r>
      <w:r w:rsidRPr="004C29F0">
        <w:rPr>
          <w:rFonts w:ascii="Calibri" w:hAnsi="Calibri" w:cs="Calibri"/>
          <w:i/>
          <w:iCs/>
          <w:noProof/>
          <w:lang w:val="nl-NL"/>
        </w:rPr>
        <w:t>American Journal of Roentgenology</w:t>
      </w:r>
      <w:r w:rsidRPr="004C29F0">
        <w:rPr>
          <w:rFonts w:ascii="Calibri" w:hAnsi="Calibri" w:cs="Calibri"/>
          <w:noProof/>
          <w:lang w:val="nl-NL"/>
        </w:rPr>
        <w:t xml:space="preserve">, </w:t>
      </w:r>
      <w:r w:rsidRPr="004C29F0">
        <w:rPr>
          <w:rFonts w:ascii="Calibri" w:hAnsi="Calibri" w:cs="Calibri"/>
          <w:i/>
          <w:iCs/>
          <w:noProof/>
          <w:lang w:val="nl-NL"/>
        </w:rPr>
        <w:t>197</w:t>
      </w:r>
      <w:r w:rsidRPr="004C29F0">
        <w:rPr>
          <w:rFonts w:ascii="Calibri" w:hAnsi="Calibri" w:cs="Calibri"/>
          <w:noProof/>
          <w:lang w:val="nl-NL"/>
        </w:rPr>
        <w:t>(3), 583–591. https://doi.org/10.2214/ajr.10.6012</w:t>
      </w:r>
    </w:p>
    <w:p w14:paraId="55D6EA82"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Colloca, L., Ludman, T., Bouhassira, D., Baron, R., Dickenson, A. H., Yarnitsky, D., Freeman, R., Truini, A., Attal, N., Finnerup, N. B., Eccleston, C., Kalso, E., Bennett, D. L. H., Dworkin, R. H., &amp; Raja, S. N. (2017). Neuropathic pain. </w:t>
      </w:r>
      <w:r w:rsidRPr="004C29F0">
        <w:rPr>
          <w:rFonts w:ascii="Calibri" w:hAnsi="Calibri" w:cs="Calibri"/>
          <w:i/>
          <w:iCs/>
          <w:noProof/>
          <w:lang w:val="nl-NL"/>
        </w:rPr>
        <w:t>Nature Reviews Disease Primers</w:t>
      </w:r>
      <w:r w:rsidRPr="004C29F0">
        <w:rPr>
          <w:rFonts w:ascii="Calibri" w:hAnsi="Calibri" w:cs="Calibri"/>
          <w:noProof/>
          <w:lang w:val="nl-NL"/>
        </w:rPr>
        <w:t xml:space="preserve">, </w:t>
      </w:r>
      <w:r w:rsidRPr="004C29F0">
        <w:rPr>
          <w:rFonts w:ascii="Calibri" w:hAnsi="Calibri" w:cs="Calibri"/>
          <w:i/>
          <w:iCs/>
          <w:noProof/>
          <w:lang w:val="nl-NL"/>
        </w:rPr>
        <w:t>3</w:t>
      </w:r>
      <w:r w:rsidRPr="004C29F0">
        <w:rPr>
          <w:rFonts w:ascii="Calibri" w:hAnsi="Calibri" w:cs="Calibri"/>
          <w:noProof/>
          <w:lang w:val="nl-NL"/>
        </w:rPr>
        <w:t>(1), 17002. https://doi.org/10.1038/nrdp.2017.2</w:t>
      </w:r>
    </w:p>
    <w:p w14:paraId="30EF62C1"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Coulthard, P., Kushnerev, E., Yates, J. M., Walsh, T., Patel, N., Bailey, E., &amp; Renton, T. F. (2014). Interventions for iatrogenic inferior alveolar and lingual nerve injury. </w:t>
      </w:r>
      <w:r w:rsidRPr="004C29F0">
        <w:rPr>
          <w:rFonts w:ascii="Calibri" w:hAnsi="Calibri" w:cs="Calibri"/>
          <w:i/>
          <w:iCs/>
          <w:noProof/>
          <w:lang w:val="nl-NL"/>
        </w:rPr>
        <w:t>The Cochrane Database of Systematic Reviews</w:t>
      </w:r>
      <w:r w:rsidRPr="004C29F0">
        <w:rPr>
          <w:rFonts w:ascii="Calibri" w:hAnsi="Calibri" w:cs="Calibri"/>
          <w:noProof/>
          <w:lang w:val="nl-NL"/>
        </w:rPr>
        <w:t xml:space="preserve">, </w:t>
      </w:r>
      <w:r w:rsidRPr="004C29F0">
        <w:rPr>
          <w:rFonts w:ascii="Calibri" w:hAnsi="Calibri" w:cs="Calibri"/>
          <w:i/>
          <w:iCs/>
          <w:noProof/>
          <w:lang w:val="nl-NL"/>
        </w:rPr>
        <w:t>4</w:t>
      </w:r>
      <w:r w:rsidRPr="004C29F0">
        <w:rPr>
          <w:rFonts w:ascii="Calibri" w:hAnsi="Calibri" w:cs="Calibri"/>
          <w:noProof/>
          <w:lang w:val="nl-NL"/>
        </w:rPr>
        <w:t>, CD005293. https://doi.org/10.1002/14651858.CD005293.pub2</w:t>
      </w:r>
    </w:p>
    <w:p w14:paraId="6AAC64AC"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Dessouky, R., Xi, Y., Zuniga, J., &amp; Chhabra, A. (2018). Role of MR Neurography for the Diagnosis of Peripheral Trigeminal Nerve Injuries in Patients with Prior Molar Tooth Extraction. </w:t>
      </w:r>
      <w:r w:rsidRPr="004C29F0">
        <w:rPr>
          <w:rFonts w:ascii="Calibri" w:hAnsi="Calibri" w:cs="Calibri"/>
          <w:i/>
          <w:iCs/>
          <w:noProof/>
          <w:lang w:val="nl-NL"/>
        </w:rPr>
        <w:t>American Journal of Neuroradiology</w:t>
      </w:r>
      <w:r w:rsidRPr="004C29F0">
        <w:rPr>
          <w:rFonts w:ascii="Calibri" w:hAnsi="Calibri" w:cs="Calibri"/>
          <w:noProof/>
          <w:lang w:val="nl-NL"/>
        </w:rPr>
        <w:t xml:space="preserve">, </w:t>
      </w:r>
      <w:r w:rsidRPr="004C29F0">
        <w:rPr>
          <w:rFonts w:ascii="Calibri" w:hAnsi="Calibri" w:cs="Calibri"/>
          <w:i/>
          <w:iCs/>
          <w:noProof/>
          <w:lang w:val="nl-NL"/>
        </w:rPr>
        <w:t>39</w:t>
      </w:r>
      <w:r w:rsidRPr="004C29F0">
        <w:rPr>
          <w:rFonts w:ascii="Calibri" w:hAnsi="Calibri" w:cs="Calibri"/>
          <w:noProof/>
          <w:lang w:val="nl-NL"/>
        </w:rPr>
        <w:t>(1), 162–169. https://doi.org/10.3174/ajnr.A5438</w:t>
      </w:r>
    </w:p>
    <w:p w14:paraId="729EFD2A"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Finnerup, N. B., Attal, N., Haroutounian, S., McNicol, E., Baron, R., Dworkin, R. H., Gilron, I., Haanpää, M., Hansson, P., Jensen, T. S., Kamerman, P. R., Lund, K., Moore, A., Raja, S. N., Rice, A. S. C., Rowbotham, M., Sena, E., Siddall, P., Smith, B. H., &amp; Wallace, M. (2015). Pharmacotherapy for neuropathic pain in adults: A systematic review and meta-analysis. </w:t>
      </w:r>
      <w:r w:rsidRPr="004C29F0">
        <w:rPr>
          <w:rFonts w:ascii="Calibri" w:hAnsi="Calibri" w:cs="Calibri"/>
          <w:i/>
          <w:iCs/>
          <w:noProof/>
          <w:lang w:val="nl-NL"/>
        </w:rPr>
        <w:t>The Lancet Neurology</w:t>
      </w:r>
      <w:r w:rsidRPr="004C29F0">
        <w:rPr>
          <w:rFonts w:ascii="Calibri" w:hAnsi="Calibri" w:cs="Calibri"/>
          <w:noProof/>
          <w:lang w:val="nl-NL"/>
        </w:rPr>
        <w:t xml:space="preserve">, </w:t>
      </w:r>
      <w:r w:rsidRPr="004C29F0">
        <w:rPr>
          <w:rFonts w:ascii="Calibri" w:hAnsi="Calibri" w:cs="Calibri"/>
          <w:i/>
          <w:iCs/>
          <w:noProof/>
          <w:lang w:val="nl-NL"/>
        </w:rPr>
        <w:t>14</w:t>
      </w:r>
      <w:r w:rsidRPr="004C29F0">
        <w:rPr>
          <w:rFonts w:ascii="Calibri" w:hAnsi="Calibri" w:cs="Calibri"/>
          <w:noProof/>
          <w:lang w:val="nl-NL"/>
        </w:rPr>
        <w:t>(2), 162–173. https://doi.org/10.1016/S1474-4422(14)70251-0</w:t>
      </w:r>
    </w:p>
    <w:p w14:paraId="58631690"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Fortino, V. R., Pelaez, D., &amp; Cheung, H. S. (2013). Concise review: stem cell therapies for neuropathic pain. </w:t>
      </w:r>
      <w:r w:rsidRPr="004C29F0">
        <w:rPr>
          <w:rFonts w:ascii="Calibri" w:hAnsi="Calibri" w:cs="Calibri"/>
          <w:i/>
          <w:iCs/>
          <w:noProof/>
          <w:lang w:val="nl-NL"/>
        </w:rPr>
        <w:t>Stem Cells Translational Medicine</w:t>
      </w:r>
      <w:r w:rsidRPr="004C29F0">
        <w:rPr>
          <w:rFonts w:ascii="Calibri" w:hAnsi="Calibri" w:cs="Calibri"/>
          <w:noProof/>
          <w:lang w:val="nl-NL"/>
        </w:rPr>
        <w:t xml:space="preserve">, </w:t>
      </w:r>
      <w:r w:rsidRPr="004C29F0">
        <w:rPr>
          <w:rFonts w:ascii="Calibri" w:hAnsi="Calibri" w:cs="Calibri"/>
          <w:i/>
          <w:iCs/>
          <w:noProof/>
          <w:lang w:val="nl-NL"/>
        </w:rPr>
        <w:t>2</w:t>
      </w:r>
      <w:r w:rsidRPr="004C29F0">
        <w:rPr>
          <w:rFonts w:ascii="Calibri" w:hAnsi="Calibri" w:cs="Calibri"/>
          <w:noProof/>
          <w:lang w:val="nl-NL"/>
        </w:rPr>
        <w:t>(5), 394–399. https://doi.org/10.5966/sctm.2012-0122</w:t>
      </w:r>
    </w:p>
    <w:p w14:paraId="6C657823"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Haanpää, M., Attal, N., Backonja, M., Baron, R., Bennett, M., Bouhassira, D., Cruccu, G., Hansson, P., Haythornthwaite, J. A., Iannetti, G. D., Jensen, T. S., Kauppila, T., Nurmikko, T. J., Rice, A. S. C., Rowbotham, M., Serra, J., Sommer, C., Smith, B. H., &amp; Treede, R.-D. (2011). NeuPSIG guidelines on neuropathic pain assessment. </w:t>
      </w:r>
      <w:r w:rsidRPr="004C29F0">
        <w:rPr>
          <w:rFonts w:ascii="Calibri" w:hAnsi="Calibri" w:cs="Calibri"/>
          <w:i/>
          <w:iCs/>
          <w:noProof/>
          <w:lang w:val="nl-NL"/>
        </w:rPr>
        <w:t>Pain</w:t>
      </w:r>
      <w:r w:rsidRPr="004C29F0">
        <w:rPr>
          <w:rFonts w:ascii="Calibri" w:hAnsi="Calibri" w:cs="Calibri"/>
          <w:noProof/>
          <w:lang w:val="nl-NL"/>
        </w:rPr>
        <w:t xml:space="preserve">, </w:t>
      </w:r>
      <w:r w:rsidRPr="004C29F0">
        <w:rPr>
          <w:rFonts w:ascii="Calibri" w:hAnsi="Calibri" w:cs="Calibri"/>
          <w:i/>
          <w:iCs/>
          <w:noProof/>
          <w:lang w:val="nl-NL"/>
        </w:rPr>
        <w:t>152</w:t>
      </w:r>
      <w:r w:rsidRPr="004C29F0">
        <w:rPr>
          <w:rFonts w:ascii="Calibri" w:hAnsi="Calibri" w:cs="Calibri"/>
          <w:noProof/>
          <w:lang w:val="nl-NL"/>
        </w:rPr>
        <w:t>(1), 14–27. https://doi.org/10.1016/j.pain.2010.07.031</w:t>
      </w:r>
    </w:p>
    <w:p w14:paraId="0BBED127"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Heir, G., Karolchek, S., Kalladka, M., Vishwanath, A., Gomes, J., Khatri, R., Nasri, C., Eliav, E., &amp; Ananthan, S. (2008). Use of topical medication in orofacial neuropathic pain: a retrospective study. </w:t>
      </w:r>
      <w:r w:rsidRPr="004C29F0">
        <w:rPr>
          <w:rFonts w:ascii="Calibri" w:hAnsi="Calibri" w:cs="Calibri"/>
          <w:i/>
          <w:iCs/>
          <w:noProof/>
          <w:lang w:val="nl-NL"/>
        </w:rPr>
        <w:t>Oral Surgery, Oral Medicine, Oral Pathology, Oral Radiology, and Endodontics</w:t>
      </w:r>
      <w:r w:rsidRPr="004C29F0">
        <w:rPr>
          <w:rFonts w:ascii="Calibri" w:hAnsi="Calibri" w:cs="Calibri"/>
          <w:noProof/>
          <w:lang w:val="nl-NL"/>
        </w:rPr>
        <w:t xml:space="preserve">, </w:t>
      </w:r>
      <w:r w:rsidRPr="004C29F0">
        <w:rPr>
          <w:rFonts w:ascii="Calibri" w:hAnsi="Calibri" w:cs="Calibri"/>
          <w:i/>
          <w:iCs/>
          <w:noProof/>
          <w:lang w:val="nl-NL"/>
        </w:rPr>
        <w:t>105</w:t>
      </w:r>
      <w:r w:rsidRPr="004C29F0">
        <w:rPr>
          <w:rFonts w:ascii="Calibri" w:hAnsi="Calibri" w:cs="Calibri"/>
          <w:noProof/>
          <w:lang w:val="nl-NL"/>
        </w:rPr>
        <w:t>(4), 466–469. https://doi.org/10.1016/j.tripleo.2007.09.030</w:t>
      </w:r>
    </w:p>
    <w:p w14:paraId="326A7127"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International Classification of Orofacial Pain, 1st edition (ICOP). (2020). </w:t>
      </w:r>
      <w:r w:rsidRPr="004C29F0">
        <w:rPr>
          <w:rFonts w:ascii="Calibri" w:hAnsi="Calibri" w:cs="Calibri"/>
          <w:i/>
          <w:iCs/>
          <w:noProof/>
          <w:lang w:val="nl-NL"/>
        </w:rPr>
        <w:t>Cephalalgia : An International Journal of Headache</w:t>
      </w:r>
      <w:r w:rsidRPr="004C29F0">
        <w:rPr>
          <w:rFonts w:ascii="Calibri" w:hAnsi="Calibri" w:cs="Calibri"/>
          <w:noProof/>
          <w:lang w:val="nl-NL"/>
        </w:rPr>
        <w:t xml:space="preserve">, </w:t>
      </w:r>
      <w:r w:rsidRPr="004C29F0">
        <w:rPr>
          <w:rFonts w:ascii="Calibri" w:hAnsi="Calibri" w:cs="Calibri"/>
          <w:i/>
          <w:iCs/>
          <w:noProof/>
          <w:lang w:val="nl-NL"/>
        </w:rPr>
        <w:t>40</w:t>
      </w:r>
      <w:r w:rsidRPr="004C29F0">
        <w:rPr>
          <w:rFonts w:ascii="Calibri" w:hAnsi="Calibri" w:cs="Calibri"/>
          <w:noProof/>
          <w:lang w:val="nl-NL"/>
        </w:rPr>
        <w:t>(2), 129–221. https://doi.org/10.1177/0333102419893823</w:t>
      </w:r>
    </w:p>
    <w:p w14:paraId="3883B08C"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Jääskeläinen, S. K. (2004). The utility of clinical neurophysiological and quantitative sensory testing for trigeminal neuropathy. </w:t>
      </w:r>
      <w:r w:rsidRPr="004C29F0">
        <w:rPr>
          <w:rFonts w:ascii="Calibri" w:hAnsi="Calibri" w:cs="Calibri"/>
          <w:i/>
          <w:iCs/>
          <w:noProof/>
          <w:lang w:val="nl-NL"/>
        </w:rPr>
        <w:t>J. Orofac. Pain</w:t>
      </w:r>
      <w:r w:rsidRPr="004C29F0">
        <w:rPr>
          <w:rFonts w:ascii="Calibri" w:hAnsi="Calibri" w:cs="Calibri"/>
          <w:noProof/>
          <w:lang w:val="nl-NL"/>
        </w:rPr>
        <w:t xml:space="preserve">, </w:t>
      </w:r>
      <w:r w:rsidRPr="004C29F0">
        <w:rPr>
          <w:rFonts w:ascii="Calibri" w:hAnsi="Calibri" w:cs="Calibri"/>
          <w:i/>
          <w:iCs/>
          <w:noProof/>
          <w:lang w:val="nl-NL"/>
        </w:rPr>
        <w:t>18</w:t>
      </w:r>
      <w:r w:rsidRPr="004C29F0">
        <w:rPr>
          <w:rFonts w:ascii="Calibri" w:hAnsi="Calibri" w:cs="Calibri"/>
          <w:noProof/>
          <w:lang w:val="nl-NL"/>
        </w:rPr>
        <w:t xml:space="preserve">(4), 355–359. </w:t>
      </w:r>
      <w:r w:rsidRPr="004C29F0">
        <w:rPr>
          <w:rFonts w:ascii="Calibri" w:hAnsi="Calibri" w:cs="Calibri"/>
          <w:noProof/>
          <w:lang w:val="nl-NL"/>
        </w:rPr>
        <w:lastRenderedPageBreak/>
        <w:t>http://www.embase.com/search/results?subaction=viewrecord&amp;from=export&amp;id=L39531550</w:t>
      </w:r>
    </w:p>
    <w:p w14:paraId="2F18BA5C"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Kanpolat, Y., Savas, A., Ugur, H. C., &amp; Bozkurt, M. (2005). The trigeminal tract and nucleus procedures in treatment of atypical facial pain. </w:t>
      </w:r>
      <w:r w:rsidRPr="004C29F0">
        <w:rPr>
          <w:rFonts w:ascii="Calibri" w:hAnsi="Calibri" w:cs="Calibri"/>
          <w:i/>
          <w:iCs/>
          <w:noProof/>
          <w:lang w:val="nl-NL"/>
        </w:rPr>
        <w:t>Surgical Neurology</w:t>
      </w:r>
      <w:r w:rsidRPr="004C29F0">
        <w:rPr>
          <w:rFonts w:ascii="Calibri" w:hAnsi="Calibri" w:cs="Calibri"/>
          <w:noProof/>
          <w:lang w:val="nl-NL"/>
        </w:rPr>
        <w:t xml:space="preserve">, </w:t>
      </w:r>
      <w:r w:rsidRPr="004C29F0">
        <w:rPr>
          <w:rFonts w:ascii="Calibri" w:hAnsi="Calibri" w:cs="Calibri"/>
          <w:i/>
          <w:iCs/>
          <w:noProof/>
          <w:lang w:val="nl-NL"/>
        </w:rPr>
        <w:t>64 Suppl 2</w:t>
      </w:r>
      <w:r w:rsidRPr="004C29F0">
        <w:rPr>
          <w:rFonts w:ascii="Calibri" w:hAnsi="Calibri" w:cs="Calibri"/>
          <w:noProof/>
          <w:lang w:val="nl-NL"/>
        </w:rPr>
        <w:t>, S96-100; discussion S100-1. https://doi.org/10.1016/j.surneu.2005.07.018</w:t>
      </w:r>
    </w:p>
    <w:p w14:paraId="62B22A8B"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Kushnerev, E., &amp; Yates, J. M. (2015). Evidence-based outcomes following inferior alveolar and lingual nerve injury and  repair: a systematic review. </w:t>
      </w:r>
      <w:r w:rsidRPr="004C29F0">
        <w:rPr>
          <w:rFonts w:ascii="Calibri" w:hAnsi="Calibri" w:cs="Calibri"/>
          <w:i/>
          <w:iCs/>
          <w:noProof/>
          <w:lang w:val="nl-NL"/>
        </w:rPr>
        <w:t>Journal of Oral Rehabilitation</w:t>
      </w:r>
      <w:r w:rsidRPr="004C29F0">
        <w:rPr>
          <w:rFonts w:ascii="Calibri" w:hAnsi="Calibri" w:cs="Calibri"/>
          <w:noProof/>
          <w:lang w:val="nl-NL"/>
        </w:rPr>
        <w:t xml:space="preserve">, </w:t>
      </w:r>
      <w:r w:rsidRPr="004C29F0">
        <w:rPr>
          <w:rFonts w:ascii="Calibri" w:hAnsi="Calibri" w:cs="Calibri"/>
          <w:i/>
          <w:iCs/>
          <w:noProof/>
          <w:lang w:val="nl-NL"/>
        </w:rPr>
        <w:t>42</w:t>
      </w:r>
      <w:r w:rsidRPr="004C29F0">
        <w:rPr>
          <w:rFonts w:ascii="Calibri" w:hAnsi="Calibri" w:cs="Calibri"/>
          <w:noProof/>
          <w:lang w:val="nl-NL"/>
        </w:rPr>
        <w:t>(10), 786–802. https://doi.org/10.1111/joor.12313</w:t>
      </w:r>
    </w:p>
    <w:p w14:paraId="68170F81"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Li, Z.-M., Chen, L.-X., &amp; Li, H. (2019). Voltage-gated Sodium Channels and Blockers: An Overview and Where Will They Go? </w:t>
      </w:r>
      <w:r w:rsidRPr="004C29F0">
        <w:rPr>
          <w:rFonts w:ascii="Calibri" w:hAnsi="Calibri" w:cs="Calibri"/>
          <w:i/>
          <w:iCs/>
          <w:noProof/>
          <w:lang w:val="nl-NL"/>
        </w:rPr>
        <w:t>Current Medical Science</w:t>
      </w:r>
      <w:r w:rsidRPr="004C29F0">
        <w:rPr>
          <w:rFonts w:ascii="Calibri" w:hAnsi="Calibri" w:cs="Calibri"/>
          <w:noProof/>
          <w:lang w:val="nl-NL"/>
        </w:rPr>
        <w:t xml:space="preserve">, </w:t>
      </w:r>
      <w:r w:rsidRPr="004C29F0">
        <w:rPr>
          <w:rFonts w:ascii="Calibri" w:hAnsi="Calibri" w:cs="Calibri"/>
          <w:i/>
          <w:iCs/>
          <w:noProof/>
          <w:lang w:val="nl-NL"/>
        </w:rPr>
        <w:t>39</w:t>
      </w:r>
      <w:r w:rsidRPr="004C29F0">
        <w:rPr>
          <w:rFonts w:ascii="Calibri" w:hAnsi="Calibri" w:cs="Calibri"/>
          <w:noProof/>
          <w:lang w:val="nl-NL"/>
        </w:rPr>
        <w:t>(6), 863–873. https://doi.org/10.1007/s11596-019-2117-0</w:t>
      </w:r>
    </w:p>
    <w:p w14:paraId="57BAAF1D"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Lobb, W. K., Zakariasen, K. L., &amp; McGrath, P. J. (1996). Endodontic treatment outcomes: do patients perceive problems? </w:t>
      </w:r>
      <w:r w:rsidRPr="004C29F0">
        <w:rPr>
          <w:rFonts w:ascii="Calibri" w:hAnsi="Calibri" w:cs="Calibri"/>
          <w:i/>
          <w:iCs/>
          <w:noProof/>
          <w:lang w:val="nl-NL"/>
        </w:rPr>
        <w:t>Journal of the American Dental Association (1939)</w:t>
      </w:r>
      <w:r w:rsidRPr="004C29F0">
        <w:rPr>
          <w:rFonts w:ascii="Calibri" w:hAnsi="Calibri" w:cs="Calibri"/>
          <w:noProof/>
          <w:lang w:val="nl-NL"/>
        </w:rPr>
        <w:t xml:space="preserve">, </w:t>
      </w:r>
      <w:r w:rsidRPr="004C29F0">
        <w:rPr>
          <w:rFonts w:ascii="Calibri" w:hAnsi="Calibri" w:cs="Calibri"/>
          <w:i/>
          <w:iCs/>
          <w:noProof/>
          <w:lang w:val="nl-NL"/>
        </w:rPr>
        <w:t>127</w:t>
      </w:r>
      <w:r w:rsidRPr="004C29F0">
        <w:rPr>
          <w:rFonts w:ascii="Calibri" w:hAnsi="Calibri" w:cs="Calibri"/>
          <w:noProof/>
          <w:lang w:val="nl-NL"/>
        </w:rPr>
        <w:t>(5), 597–600. https://doi.org/10.14219/jada.archive.1996.0271</w:t>
      </w:r>
    </w:p>
    <w:p w14:paraId="2FDCD0EA"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Mason, L., Moore, R. A., Derry, S., Edwards, J. E., &amp; McQuay, H. J. (2004). Systematic review of topical capsaicin for the treatment of chronic pain. </w:t>
      </w:r>
      <w:r w:rsidRPr="004C29F0">
        <w:rPr>
          <w:rFonts w:ascii="Calibri" w:hAnsi="Calibri" w:cs="Calibri"/>
          <w:i/>
          <w:iCs/>
          <w:noProof/>
          <w:lang w:val="nl-NL"/>
        </w:rPr>
        <w:t>BMJ (Clinical Research Ed.)</w:t>
      </w:r>
      <w:r w:rsidRPr="004C29F0">
        <w:rPr>
          <w:rFonts w:ascii="Calibri" w:hAnsi="Calibri" w:cs="Calibri"/>
          <w:noProof/>
          <w:lang w:val="nl-NL"/>
        </w:rPr>
        <w:t xml:space="preserve">, </w:t>
      </w:r>
      <w:r w:rsidRPr="004C29F0">
        <w:rPr>
          <w:rFonts w:ascii="Calibri" w:hAnsi="Calibri" w:cs="Calibri"/>
          <w:i/>
          <w:iCs/>
          <w:noProof/>
          <w:lang w:val="nl-NL"/>
        </w:rPr>
        <w:t>328</w:t>
      </w:r>
      <w:r w:rsidRPr="004C29F0">
        <w:rPr>
          <w:rFonts w:ascii="Calibri" w:hAnsi="Calibri" w:cs="Calibri"/>
          <w:noProof/>
          <w:lang w:val="nl-NL"/>
        </w:rPr>
        <w:t>(7446), 991. https://doi.org/10.1136/bmj.38042.506748.EE</w:t>
      </w:r>
    </w:p>
    <w:p w14:paraId="454771A1"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McDermott, A. M., Toelle, T. R., Rowbotham, D. J., Schaefer, C. P., &amp; Dukes, E. M. (2006). The burden of neuropathic pain: results from a cross-sectional survey. </w:t>
      </w:r>
      <w:r w:rsidRPr="004C29F0">
        <w:rPr>
          <w:rFonts w:ascii="Calibri" w:hAnsi="Calibri" w:cs="Calibri"/>
          <w:i/>
          <w:iCs/>
          <w:noProof/>
          <w:lang w:val="nl-NL"/>
        </w:rPr>
        <w:t>European Journal of Pain (London, England)</w:t>
      </w:r>
      <w:r w:rsidRPr="004C29F0">
        <w:rPr>
          <w:rFonts w:ascii="Calibri" w:hAnsi="Calibri" w:cs="Calibri"/>
          <w:noProof/>
          <w:lang w:val="nl-NL"/>
        </w:rPr>
        <w:t xml:space="preserve">, </w:t>
      </w:r>
      <w:r w:rsidRPr="004C29F0">
        <w:rPr>
          <w:rFonts w:ascii="Calibri" w:hAnsi="Calibri" w:cs="Calibri"/>
          <w:i/>
          <w:iCs/>
          <w:noProof/>
          <w:lang w:val="nl-NL"/>
        </w:rPr>
        <w:t>10</w:t>
      </w:r>
      <w:r w:rsidRPr="004C29F0">
        <w:rPr>
          <w:rFonts w:ascii="Calibri" w:hAnsi="Calibri" w:cs="Calibri"/>
          <w:noProof/>
          <w:lang w:val="nl-NL"/>
        </w:rPr>
        <w:t>(2), 127–135. https://doi.org/10.1016/j.ejpain.2005.01.014</w:t>
      </w:r>
    </w:p>
    <w:p w14:paraId="60DF1869"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Pogrel, M. A. (2002). The results of microneurosurgery of the inferior alveolar and lingual nerve. </w:t>
      </w:r>
      <w:r w:rsidRPr="004C29F0">
        <w:rPr>
          <w:rFonts w:ascii="Calibri" w:hAnsi="Calibri" w:cs="Calibri"/>
          <w:i/>
          <w:iCs/>
          <w:noProof/>
          <w:lang w:val="nl-NL"/>
        </w:rPr>
        <w:t>Journal of Oral and Maxillofacial Surgery : Official Journal of the American  Association of Oral and Maxillofacial Surgeons</w:t>
      </w:r>
      <w:r w:rsidRPr="004C29F0">
        <w:rPr>
          <w:rFonts w:ascii="Calibri" w:hAnsi="Calibri" w:cs="Calibri"/>
          <w:noProof/>
          <w:lang w:val="nl-NL"/>
        </w:rPr>
        <w:t xml:space="preserve">, </w:t>
      </w:r>
      <w:r w:rsidRPr="004C29F0">
        <w:rPr>
          <w:rFonts w:ascii="Calibri" w:hAnsi="Calibri" w:cs="Calibri"/>
          <w:i/>
          <w:iCs/>
          <w:noProof/>
          <w:lang w:val="nl-NL"/>
        </w:rPr>
        <w:t>60</w:t>
      </w:r>
      <w:r w:rsidRPr="004C29F0">
        <w:rPr>
          <w:rFonts w:ascii="Calibri" w:hAnsi="Calibri" w:cs="Calibri"/>
          <w:noProof/>
          <w:lang w:val="nl-NL"/>
        </w:rPr>
        <w:t>(5), 485–489. https://doi.org/10.1053/joms.2002.31841</w:t>
      </w:r>
    </w:p>
    <w:p w14:paraId="69B855B3"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Renton, T. (2013). Oral surgery: part 4. Minimising and managing nerve injuries and other complications. </w:t>
      </w:r>
      <w:r w:rsidRPr="004C29F0">
        <w:rPr>
          <w:rFonts w:ascii="Calibri" w:hAnsi="Calibri" w:cs="Calibri"/>
          <w:i/>
          <w:iCs/>
          <w:noProof/>
          <w:lang w:val="nl-NL"/>
        </w:rPr>
        <w:t>BDJ</w:t>
      </w:r>
      <w:r w:rsidRPr="004C29F0">
        <w:rPr>
          <w:rFonts w:ascii="Calibri" w:hAnsi="Calibri" w:cs="Calibri"/>
          <w:noProof/>
          <w:lang w:val="nl-NL"/>
        </w:rPr>
        <w:t xml:space="preserve">, </w:t>
      </w:r>
      <w:r w:rsidRPr="004C29F0">
        <w:rPr>
          <w:rFonts w:ascii="Calibri" w:hAnsi="Calibri" w:cs="Calibri"/>
          <w:i/>
          <w:iCs/>
          <w:noProof/>
          <w:lang w:val="nl-NL"/>
        </w:rPr>
        <w:t>215</w:t>
      </w:r>
      <w:r w:rsidRPr="004C29F0">
        <w:rPr>
          <w:rFonts w:ascii="Calibri" w:hAnsi="Calibri" w:cs="Calibri"/>
          <w:noProof/>
          <w:lang w:val="nl-NL"/>
        </w:rPr>
        <w:t>(8), 393–399. https://doi.org/10.1038/sj.bdj.2013.993</w:t>
      </w:r>
    </w:p>
    <w:p w14:paraId="5FBCA0E6"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Renton, T., &amp; Yilmaz, Z. (2012). Managing iatrogenic trigeminal nerve injury: A case series and review of the literature. </w:t>
      </w:r>
      <w:r w:rsidRPr="004C29F0">
        <w:rPr>
          <w:rFonts w:ascii="Calibri" w:hAnsi="Calibri" w:cs="Calibri"/>
          <w:i/>
          <w:iCs/>
          <w:noProof/>
          <w:lang w:val="nl-NL"/>
        </w:rPr>
        <w:t>International Journal of Oral and Maxillofacial Surgery</w:t>
      </w:r>
      <w:r w:rsidRPr="004C29F0">
        <w:rPr>
          <w:rFonts w:ascii="Calibri" w:hAnsi="Calibri" w:cs="Calibri"/>
          <w:noProof/>
          <w:lang w:val="nl-NL"/>
        </w:rPr>
        <w:t xml:space="preserve">, </w:t>
      </w:r>
      <w:r w:rsidRPr="004C29F0">
        <w:rPr>
          <w:rFonts w:ascii="Calibri" w:hAnsi="Calibri" w:cs="Calibri"/>
          <w:i/>
          <w:iCs/>
          <w:noProof/>
          <w:lang w:val="nl-NL"/>
        </w:rPr>
        <w:t>41</w:t>
      </w:r>
      <w:r w:rsidRPr="004C29F0">
        <w:rPr>
          <w:rFonts w:ascii="Calibri" w:hAnsi="Calibri" w:cs="Calibri"/>
          <w:noProof/>
          <w:lang w:val="nl-NL"/>
        </w:rPr>
        <w:t>(5), 629–637. https://doi.org/10.1016/j.ijom.2011.11.002</w:t>
      </w:r>
    </w:p>
    <w:p w14:paraId="62756E78"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Renton, Tara, &amp; Van der Cruyssen, F. (2019). Diagnosis, pathophysiology, management and future issues of trigeminal surgical nerve injuries. </w:t>
      </w:r>
      <w:r w:rsidRPr="004C29F0">
        <w:rPr>
          <w:rFonts w:ascii="Calibri" w:hAnsi="Calibri" w:cs="Calibri"/>
          <w:i/>
          <w:iCs/>
          <w:noProof/>
          <w:lang w:val="nl-NL"/>
        </w:rPr>
        <w:t>Oral Surgery</w:t>
      </w:r>
      <w:r w:rsidRPr="004C29F0">
        <w:rPr>
          <w:rFonts w:ascii="Calibri" w:hAnsi="Calibri" w:cs="Calibri"/>
          <w:noProof/>
          <w:lang w:val="nl-NL"/>
        </w:rPr>
        <w:t xml:space="preserve">, </w:t>
      </w:r>
      <w:r w:rsidRPr="004C29F0">
        <w:rPr>
          <w:rFonts w:ascii="Calibri" w:hAnsi="Calibri" w:cs="Calibri"/>
          <w:i/>
          <w:iCs/>
          <w:noProof/>
          <w:lang w:val="nl-NL"/>
        </w:rPr>
        <w:t>n/a</w:t>
      </w:r>
      <w:r w:rsidRPr="004C29F0">
        <w:rPr>
          <w:rFonts w:ascii="Calibri" w:hAnsi="Calibri" w:cs="Calibri"/>
          <w:noProof/>
          <w:lang w:val="nl-NL"/>
        </w:rPr>
        <w:t>(n/a), ors.12465.</w:t>
      </w:r>
    </w:p>
    <w:p w14:paraId="4E1BE668"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Rice, A. S. C., Dworkin, R. H., McCarthy, T. D., Anand, P., Bountra, C., McCloud, P. I., Hill, J., Cutter, G., Kitson, G., Desem, N., &amp; Raff, M. (2014). EMA401, an orally administered highly selective angiotensin II type 2 receptor  antagonist, as a novel treatment for postherpetic neuralgia: a randomised, double-blind, placebo-controlled phase 2 clinical trial. </w:t>
      </w:r>
      <w:r w:rsidRPr="004C29F0">
        <w:rPr>
          <w:rFonts w:ascii="Calibri" w:hAnsi="Calibri" w:cs="Calibri"/>
          <w:i/>
          <w:iCs/>
          <w:noProof/>
          <w:lang w:val="nl-NL"/>
        </w:rPr>
        <w:t>Lancet (London, England)</w:t>
      </w:r>
      <w:r w:rsidRPr="004C29F0">
        <w:rPr>
          <w:rFonts w:ascii="Calibri" w:hAnsi="Calibri" w:cs="Calibri"/>
          <w:noProof/>
          <w:lang w:val="nl-NL"/>
        </w:rPr>
        <w:t xml:space="preserve">, </w:t>
      </w:r>
      <w:r w:rsidRPr="004C29F0">
        <w:rPr>
          <w:rFonts w:ascii="Calibri" w:hAnsi="Calibri" w:cs="Calibri"/>
          <w:i/>
          <w:iCs/>
          <w:noProof/>
          <w:lang w:val="nl-NL"/>
        </w:rPr>
        <w:t>383</w:t>
      </w:r>
      <w:r w:rsidRPr="004C29F0">
        <w:rPr>
          <w:rFonts w:ascii="Calibri" w:hAnsi="Calibri" w:cs="Calibri"/>
          <w:noProof/>
          <w:lang w:val="nl-NL"/>
        </w:rPr>
        <w:t>(9929), 1637–1647. https://doi.org/10.1016/S0140-6736(13)62337-5</w:t>
      </w:r>
    </w:p>
    <w:p w14:paraId="1F630471"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Rutner, T. W., Ziccardi, V. B., &amp; Janal, M. N. (2005). Long-term outcome assessment for lingual nerve microsurgery. </w:t>
      </w:r>
      <w:r w:rsidRPr="004C29F0">
        <w:rPr>
          <w:rFonts w:ascii="Calibri" w:hAnsi="Calibri" w:cs="Calibri"/>
          <w:i/>
          <w:iCs/>
          <w:noProof/>
          <w:lang w:val="nl-NL"/>
        </w:rPr>
        <w:t>Journal of Oral and Maxillofacial Surgery : Official Journal of the American Association of Oral and Maxillofacial Surgeons</w:t>
      </w:r>
      <w:r w:rsidRPr="004C29F0">
        <w:rPr>
          <w:rFonts w:ascii="Calibri" w:hAnsi="Calibri" w:cs="Calibri"/>
          <w:noProof/>
          <w:lang w:val="nl-NL"/>
        </w:rPr>
        <w:t xml:space="preserve">, </w:t>
      </w:r>
      <w:r w:rsidRPr="004C29F0">
        <w:rPr>
          <w:rFonts w:ascii="Calibri" w:hAnsi="Calibri" w:cs="Calibri"/>
          <w:i/>
          <w:iCs/>
          <w:noProof/>
          <w:lang w:val="nl-NL"/>
        </w:rPr>
        <w:t>63</w:t>
      </w:r>
      <w:r w:rsidRPr="004C29F0">
        <w:rPr>
          <w:rFonts w:ascii="Calibri" w:hAnsi="Calibri" w:cs="Calibri"/>
          <w:noProof/>
          <w:lang w:val="nl-NL"/>
        </w:rPr>
        <w:t>(8), 1145–1149. https://doi.org/10.1016/j.joms.2005.04.023</w:t>
      </w:r>
    </w:p>
    <w:p w14:paraId="34AE22AA"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Salomon, D., Miloro, M., &amp; Kolokythas, A. (2016). Outcomes of Immediate Allograft Reconstruction of Long-Span Defects of the Inferior Alveolar Nerve. </w:t>
      </w:r>
      <w:r w:rsidRPr="004C29F0">
        <w:rPr>
          <w:rFonts w:ascii="Calibri" w:hAnsi="Calibri" w:cs="Calibri"/>
          <w:i/>
          <w:iCs/>
          <w:noProof/>
          <w:lang w:val="nl-NL"/>
        </w:rPr>
        <w:t>Journal of Oral and Maxillofacial Surgery</w:t>
      </w:r>
      <w:r w:rsidRPr="004C29F0">
        <w:rPr>
          <w:rFonts w:ascii="Calibri" w:hAnsi="Calibri" w:cs="Calibri"/>
          <w:noProof/>
          <w:lang w:val="nl-NL"/>
        </w:rPr>
        <w:t xml:space="preserve">, </w:t>
      </w:r>
      <w:r w:rsidRPr="004C29F0">
        <w:rPr>
          <w:rFonts w:ascii="Calibri" w:hAnsi="Calibri" w:cs="Calibri"/>
          <w:i/>
          <w:iCs/>
          <w:noProof/>
          <w:lang w:val="nl-NL"/>
        </w:rPr>
        <w:t>74</w:t>
      </w:r>
      <w:r w:rsidRPr="004C29F0">
        <w:rPr>
          <w:rFonts w:ascii="Calibri" w:hAnsi="Calibri" w:cs="Calibri"/>
          <w:noProof/>
          <w:lang w:val="nl-NL"/>
        </w:rPr>
        <w:t>(12), 2507–2514. https://doi.org/10.1016/j.joms.2016.05.029</w:t>
      </w:r>
    </w:p>
    <w:p w14:paraId="1774B5C4"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Sawynok, J. (2003). Topical and peripherally acting analgesics. </w:t>
      </w:r>
      <w:r w:rsidRPr="004C29F0">
        <w:rPr>
          <w:rFonts w:ascii="Calibri" w:hAnsi="Calibri" w:cs="Calibri"/>
          <w:i/>
          <w:iCs/>
          <w:noProof/>
          <w:lang w:val="nl-NL"/>
        </w:rPr>
        <w:t>Pharmacological Reviews</w:t>
      </w:r>
      <w:r w:rsidRPr="004C29F0">
        <w:rPr>
          <w:rFonts w:ascii="Calibri" w:hAnsi="Calibri" w:cs="Calibri"/>
          <w:noProof/>
          <w:lang w:val="nl-NL"/>
        </w:rPr>
        <w:t xml:space="preserve">, </w:t>
      </w:r>
      <w:r w:rsidRPr="004C29F0">
        <w:rPr>
          <w:rFonts w:ascii="Calibri" w:hAnsi="Calibri" w:cs="Calibri"/>
          <w:i/>
          <w:iCs/>
          <w:noProof/>
          <w:lang w:val="nl-NL"/>
        </w:rPr>
        <w:t>55</w:t>
      </w:r>
      <w:r w:rsidRPr="004C29F0">
        <w:rPr>
          <w:rFonts w:ascii="Calibri" w:hAnsi="Calibri" w:cs="Calibri"/>
          <w:noProof/>
          <w:lang w:val="nl-NL"/>
        </w:rPr>
        <w:t>(1), 1–20. https://doi.org/10.1124/pr.55.1.1</w:t>
      </w:r>
    </w:p>
    <w:p w14:paraId="736DEA28"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Smith, J. G., Elias, L.-A., Yilmaz, Z., Barker, S., Shah, K., Shah, S., &amp; Renton, T. (2013). The psychosocial and affective burden of posttraumatic neuropathy following injuries to the trigeminal nerve. </w:t>
      </w:r>
      <w:r w:rsidRPr="004C29F0">
        <w:rPr>
          <w:rFonts w:ascii="Calibri" w:hAnsi="Calibri" w:cs="Calibri"/>
          <w:i/>
          <w:iCs/>
          <w:noProof/>
          <w:lang w:val="nl-NL"/>
        </w:rPr>
        <w:t>Journal of Orofacial Pain</w:t>
      </w:r>
      <w:r w:rsidRPr="004C29F0">
        <w:rPr>
          <w:rFonts w:ascii="Calibri" w:hAnsi="Calibri" w:cs="Calibri"/>
          <w:noProof/>
          <w:lang w:val="nl-NL"/>
        </w:rPr>
        <w:t xml:space="preserve">, </w:t>
      </w:r>
      <w:r w:rsidRPr="004C29F0">
        <w:rPr>
          <w:rFonts w:ascii="Calibri" w:hAnsi="Calibri" w:cs="Calibri"/>
          <w:i/>
          <w:iCs/>
          <w:noProof/>
          <w:lang w:val="nl-NL"/>
        </w:rPr>
        <w:t>27</w:t>
      </w:r>
      <w:r w:rsidRPr="004C29F0">
        <w:rPr>
          <w:rFonts w:ascii="Calibri" w:hAnsi="Calibri" w:cs="Calibri"/>
          <w:noProof/>
          <w:lang w:val="nl-NL"/>
        </w:rPr>
        <w:t>(4), 293–303. https://doi.org/10.11607/jop.1056</w:t>
      </w:r>
    </w:p>
    <w:p w14:paraId="5ABCE515"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Strauss, E. R., Ziccardi, V. B., &amp; Janal, M. N. (2006). Outcome Assessment of Inferior Alveolar Nerve Microsurgery: A Retrospective Review. </w:t>
      </w:r>
      <w:r w:rsidRPr="004C29F0">
        <w:rPr>
          <w:rFonts w:ascii="Calibri" w:hAnsi="Calibri" w:cs="Calibri"/>
          <w:i/>
          <w:iCs/>
          <w:noProof/>
          <w:lang w:val="nl-NL"/>
        </w:rPr>
        <w:t>Journal of Oral and Maxillofacial Surgery</w:t>
      </w:r>
      <w:r w:rsidRPr="004C29F0">
        <w:rPr>
          <w:rFonts w:ascii="Calibri" w:hAnsi="Calibri" w:cs="Calibri"/>
          <w:noProof/>
          <w:lang w:val="nl-NL"/>
        </w:rPr>
        <w:t xml:space="preserve">, </w:t>
      </w:r>
      <w:r w:rsidRPr="004C29F0">
        <w:rPr>
          <w:rFonts w:ascii="Calibri" w:hAnsi="Calibri" w:cs="Calibri"/>
          <w:i/>
          <w:iCs/>
          <w:noProof/>
          <w:lang w:val="nl-NL"/>
        </w:rPr>
        <w:t>64</w:t>
      </w:r>
      <w:r w:rsidRPr="004C29F0">
        <w:rPr>
          <w:rFonts w:ascii="Calibri" w:hAnsi="Calibri" w:cs="Calibri"/>
          <w:noProof/>
          <w:lang w:val="nl-NL"/>
        </w:rPr>
        <w:t>(12), 1767–1770. https://doi.org/10.1016/j.joms.2005.11.111</w:t>
      </w:r>
    </w:p>
    <w:p w14:paraId="1BAD4DD8"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Susarla, S. M., Kaban, L. B., Donoff, R. B., &amp; Dodson, T. B. (2007). Does Early Repair of Lingual Nerve Injuries Improve Functional Sensory Recovery? </w:t>
      </w:r>
      <w:r w:rsidRPr="004C29F0">
        <w:rPr>
          <w:rFonts w:ascii="Calibri" w:hAnsi="Calibri" w:cs="Calibri"/>
          <w:i/>
          <w:iCs/>
          <w:noProof/>
          <w:lang w:val="nl-NL"/>
        </w:rPr>
        <w:t>Journal of Oral and Maxillofacial Surgery</w:t>
      </w:r>
      <w:r w:rsidRPr="004C29F0">
        <w:rPr>
          <w:rFonts w:ascii="Calibri" w:hAnsi="Calibri" w:cs="Calibri"/>
          <w:noProof/>
          <w:lang w:val="nl-NL"/>
        </w:rPr>
        <w:t xml:space="preserve">, </w:t>
      </w:r>
      <w:r w:rsidRPr="004C29F0">
        <w:rPr>
          <w:rFonts w:ascii="Calibri" w:hAnsi="Calibri" w:cs="Calibri"/>
          <w:i/>
          <w:iCs/>
          <w:noProof/>
          <w:lang w:val="nl-NL"/>
        </w:rPr>
        <w:t>65</w:t>
      </w:r>
      <w:r w:rsidRPr="004C29F0">
        <w:rPr>
          <w:rFonts w:ascii="Calibri" w:hAnsi="Calibri" w:cs="Calibri"/>
          <w:noProof/>
          <w:lang w:val="nl-NL"/>
        </w:rPr>
        <w:t>(6), 1070–1076. https://doi.org/10.1016/j.joms.2006.10.010</w:t>
      </w:r>
    </w:p>
    <w:p w14:paraId="62900A91"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Teerijoki-Oksa, T., Forssell, H., Jääskeläinen, S. K., Jaaskelainen, S. K., Teerijoki-Oksa, T., Forssell, H., Jaaskelainen, S. K., &amp; Jääskeläinen, S. K. (2019). Validation of diagnostic methods for traumatic sensory neuropathy and neuropathic pain. </w:t>
      </w:r>
      <w:r w:rsidRPr="004C29F0">
        <w:rPr>
          <w:rFonts w:ascii="Calibri" w:hAnsi="Calibri" w:cs="Calibri"/>
          <w:i/>
          <w:iCs/>
          <w:noProof/>
          <w:lang w:val="nl-NL"/>
        </w:rPr>
        <w:t>Muscle and Nerve</w:t>
      </w:r>
      <w:r w:rsidRPr="004C29F0">
        <w:rPr>
          <w:rFonts w:ascii="Calibri" w:hAnsi="Calibri" w:cs="Calibri"/>
          <w:noProof/>
          <w:lang w:val="nl-NL"/>
        </w:rPr>
        <w:t xml:space="preserve">, </w:t>
      </w:r>
      <w:r w:rsidRPr="004C29F0">
        <w:rPr>
          <w:rFonts w:ascii="Calibri" w:hAnsi="Calibri" w:cs="Calibri"/>
          <w:i/>
          <w:iCs/>
          <w:noProof/>
          <w:lang w:val="nl-NL"/>
        </w:rPr>
        <w:t>59</w:t>
      </w:r>
      <w:r w:rsidRPr="004C29F0">
        <w:rPr>
          <w:rFonts w:ascii="Calibri" w:hAnsi="Calibri" w:cs="Calibri"/>
          <w:noProof/>
          <w:lang w:val="nl-NL"/>
        </w:rPr>
        <w:t>(3), 342–347. https://doi.org/10.1002/mus.26400</w:t>
      </w:r>
    </w:p>
    <w:p w14:paraId="4AF2583B"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lastRenderedPageBreak/>
        <w:t xml:space="preserve">Van der Cruyssen, Frederic, Peeters, F., Croonenborghs, T.-M., Fransen, J., Renton, T., Politis, C., Casselman, J., &amp; Jacobs, R. (2020). A systematic review on diagnostic test accuracy of magnetic resonance neurography versus clinical neurosensory assessment for post-traumatic trigeminal neuropathy in patients reporting neurosensory disturbance. </w:t>
      </w:r>
      <w:r w:rsidRPr="004C29F0">
        <w:rPr>
          <w:rFonts w:ascii="Calibri" w:hAnsi="Calibri" w:cs="Calibri"/>
          <w:i/>
          <w:iCs/>
          <w:noProof/>
          <w:lang w:val="nl-NL"/>
        </w:rPr>
        <w:t>Dentomaxillofacial Radiology</w:t>
      </w:r>
      <w:r w:rsidRPr="004C29F0">
        <w:rPr>
          <w:rFonts w:ascii="Calibri" w:hAnsi="Calibri" w:cs="Calibri"/>
          <w:noProof/>
          <w:lang w:val="nl-NL"/>
        </w:rPr>
        <w:t xml:space="preserve">, </w:t>
      </w:r>
      <w:r w:rsidRPr="004C29F0">
        <w:rPr>
          <w:rFonts w:ascii="Calibri" w:hAnsi="Calibri" w:cs="Calibri"/>
          <w:i/>
          <w:iCs/>
          <w:noProof/>
          <w:lang w:val="nl-NL"/>
        </w:rPr>
        <w:t>March</w:t>
      </w:r>
      <w:r w:rsidRPr="004C29F0">
        <w:rPr>
          <w:rFonts w:ascii="Calibri" w:hAnsi="Calibri" w:cs="Calibri"/>
          <w:noProof/>
          <w:lang w:val="nl-NL"/>
        </w:rPr>
        <w:t>, 20200103. https://doi.org/10.1259/dmfr.20200103</w:t>
      </w:r>
    </w:p>
    <w:p w14:paraId="4E2FBD6E"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Van der Cruyssen, Fréderic, Peeters, F., Gill, T., De Laat, A., Jacobs, R., Politis, C., &amp; Renton, T. (2020). Signs and symptoms, quality of life and psychosocial data in 1331 post‐traumatic trigeminal neuropathy patients seen in two tertiary referral centres in two countries. </w:t>
      </w:r>
      <w:r w:rsidRPr="004C29F0">
        <w:rPr>
          <w:rFonts w:ascii="Calibri" w:hAnsi="Calibri" w:cs="Calibri"/>
          <w:i/>
          <w:iCs/>
          <w:noProof/>
          <w:lang w:val="nl-NL"/>
        </w:rPr>
        <w:t>Journal of Oral Rehabilitation</w:t>
      </w:r>
      <w:r w:rsidRPr="004C29F0">
        <w:rPr>
          <w:rFonts w:ascii="Calibri" w:hAnsi="Calibri" w:cs="Calibri"/>
          <w:noProof/>
          <w:lang w:val="nl-NL"/>
        </w:rPr>
        <w:t xml:space="preserve">, </w:t>
      </w:r>
      <w:r w:rsidRPr="004C29F0">
        <w:rPr>
          <w:rFonts w:ascii="Calibri" w:hAnsi="Calibri" w:cs="Calibri"/>
          <w:i/>
          <w:iCs/>
          <w:noProof/>
          <w:lang w:val="nl-NL"/>
        </w:rPr>
        <w:t>December 2019</w:t>
      </w:r>
      <w:r w:rsidRPr="004C29F0">
        <w:rPr>
          <w:rFonts w:ascii="Calibri" w:hAnsi="Calibri" w:cs="Calibri"/>
          <w:noProof/>
          <w:lang w:val="nl-NL"/>
        </w:rPr>
        <w:t>, joor.13058. https://doi.org/10.1111/joor.13058</w:t>
      </w:r>
    </w:p>
    <w:p w14:paraId="1882F151"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Zakrzewska, J. M., &amp; Linskey, M. E. (2014). Trigeminal neuralgia. </w:t>
      </w:r>
      <w:r w:rsidRPr="004C29F0">
        <w:rPr>
          <w:rFonts w:ascii="Calibri" w:hAnsi="Calibri" w:cs="Calibri"/>
          <w:i/>
          <w:iCs/>
          <w:noProof/>
          <w:lang w:val="nl-NL"/>
        </w:rPr>
        <w:t>BMJ (Online)</w:t>
      </w:r>
      <w:r w:rsidRPr="004C29F0">
        <w:rPr>
          <w:rFonts w:ascii="Calibri" w:hAnsi="Calibri" w:cs="Calibri"/>
          <w:noProof/>
          <w:lang w:val="nl-NL"/>
        </w:rPr>
        <w:t xml:space="preserve">, </w:t>
      </w:r>
      <w:r w:rsidRPr="004C29F0">
        <w:rPr>
          <w:rFonts w:ascii="Calibri" w:hAnsi="Calibri" w:cs="Calibri"/>
          <w:i/>
          <w:iCs/>
          <w:noProof/>
          <w:lang w:val="nl-NL"/>
        </w:rPr>
        <w:t>348</w:t>
      </w:r>
      <w:r w:rsidRPr="004C29F0">
        <w:rPr>
          <w:rFonts w:ascii="Calibri" w:hAnsi="Calibri" w:cs="Calibri"/>
          <w:noProof/>
          <w:lang w:val="nl-NL"/>
        </w:rPr>
        <w:t>(February), 1–9. https://doi.org/10.1136/bmj.g474</w:t>
      </w:r>
    </w:p>
    <w:p w14:paraId="7270676C"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Ziccardi, V. B., Rivera, L., &amp; Gomes, J. (2009). Comparison of lingual and inferior alveolar nerve microsurgery outcomes. </w:t>
      </w:r>
      <w:r w:rsidRPr="004C29F0">
        <w:rPr>
          <w:rFonts w:ascii="Calibri" w:hAnsi="Calibri" w:cs="Calibri"/>
          <w:i/>
          <w:iCs/>
          <w:noProof/>
          <w:lang w:val="nl-NL"/>
        </w:rPr>
        <w:t>Quintessence International (Berlin, Germany : 1985)</w:t>
      </w:r>
      <w:r w:rsidRPr="004C29F0">
        <w:rPr>
          <w:rFonts w:ascii="Calibri" w:hAnsi="Calibri" w:cs="Calibri"/>
          <w:noProof/>
          <w:lang w:val="nl-NL"/>
        </w:rPr>
        <w:t xml:space="preserve">, </w:t>
      </w:r>
      <w:r w:rsidRPr="004C29F0">
        <w:rPr>
          <w:rFonts w:ascii="Calibri" w:hAnsi="Calibri" w:cs="Calibri"/>
          <w:i/>
          <w:iCs/>
          <w:noProof/>
          <w:lang w:val="nl-NL"/>
        </w:rPr>
        <w:t>40</w:t>
      </w:r>
      <w:r w:rsidRPr="004C29F0">
        <w:rPr>
          <w:rFonts w:ascii="Calibri" w:hAnsi="Calibri" w:cs="Calibri"/>
          <w:noProof/>
          <w:lang w:val="nl-NL"/>
        </w:rPr>
        <w:t>(4), 295–301.</w:t>
      </w:r>
    </w:p>
    <w:p w14:paraId="5D3C8083"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Ziccardi, V. B., &amp; Steinberg, M. J. (2007). Timing of Trigeminal Nerve Microsurgery: A Review of the Literature. </w:t>
      </w:r>
      <w:r w:rsidRPr="004C29F0">
        <w:rPr>
          <w:rFonts w:ascii="Calibri" w:hAnsi="Calibri" w:cs="Calibri"/>
          <w:i/>
          <w:iCs/>
          <w:noProof/>
          <w:lang w:val="nl-NL"/>
        </w:rPr>
        <w:t>Journal of Oral and Maxillofacial Surgery</w:t>
      </w:r>
      <w:r w:rsidRPr="004C29F0">
        <w:rPr>
          <w:rFonts w:ascii="Calibri" w:hAnsi="Calibri" w:cs="Calibri"/>
          <w:noProof/>
          <w:lang w:val="nl-NL"/>
        </w:rPr>
        <w:t xml:space="preserve">, </w:t>
      </w:r>
      <w:r w:rsidRPr="004C29F0">
        <w:rPr>
          <w:rFonts w:ascii="Calibri" w:hAnsi="Calibri" w:cs="Calibri"/>
          <w:i/>
          <w:iCs/>
          <w:noProof/>
          <w:lang w:val="nl-NL"/>
        </w:rPr>
        <w:t>65</w:t>
      </w:r>
      <w:r w:rsidRPr="004C29F0">
        <w:rPr>
          <w:rFonts w:ascii="Calibri" w:hAnsi="Calibri" w:cs="Calibri"/>
          <w:noProof/>
          <w:lang w:val="nl-NL"/>
        </w:rPr>
        <w:t>(7), 1341–1345. https://doi.org/10.1016/j.joms.2005.11.090</w:t>
      </w:r>
    </w:p>
    <w:p w14:paraId="751AF92E"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Zuniga, J. R. (2015). Sensory outcomes after reconstruction of lingual and inferior alveolar nerve discontinuities using processed nerve allograft--a case series. </w:t>
      </w:r>
      <w:r w:rsidRPr="004C29F0">
        <w:rPr>
          <w:rFonts w:ascii="Calibri" w:hAnsi="Calibri" w:cs="Calibri"/>
          <w:i/>
          <w:iCs/>
          <w:noProof/>
          <w:lang w:val="nl-NL"/>
        </w:rPr>
        <w:t>Journal of Oral and Maxillofacial Surgery : Official Journal of the American Association of Oral and Maxillofacial Surgeons</w:t>
      </w:r>
      <w:r w:rsidRPr="004C29F0">
        <w:rPr>
          <w:rFonts w:ascii="Calibri" w:hAnsi="Calibri" w:cs="Calibri"/>
          <w:noProof/>
          <w:lang w:val="nl-NL"/>
        </w:rPr>
        <w:t xml:space="preserve">, </w:t>
      </w:r>
      <w:r w:rsidRPr="004C29F0">
        <w:rPr>
          <w:rFonts w:ascii="Calibri" w:hAnsi="Calibri" w:cs="Calibri"/>
          <w:i/>
          <w:iCs/>
          <w:noProof/>
          <w:lang w:val="nl-NL"/>
        </w:rPr>
        <w:t>73</w:t>
      </w:r>
      <w:r w:rsidRPr="004C29F0">
        <w:rPr>
          <w:rFonts w:ascii="Calibri" w:hAnsi="Calibri" w:cs="Calibri"/>
          <w:noProof/>
          <w:lang w:val="nl-NL"/>
        </w:rPr>
        <w:t>(4), 734–744. https://doi.org/10.1016/j.joms.2014.10.030</w:t>
      </w:r>
    </w:p>
    <w:p w14:paraId="26D64084"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Zuniga, J. R., Meyer, R. A., Gregg, J. M., Miloro, M., &amp; Davis, L. F. (1998). The accuracy of clinical neurosensory testing for nerve injury diagnosis. </w:t>
      </w:r>
      <w:r w:rsidRPr="004C29F0">
        <w:rPr>
          <w:rFonts w:ascii="Calibri" w:hAnsi="Calibri" w:cs="Calibri"/>
          <w:i/>
          <w:iCs/>
          <w:noProof/>
          <w:lang w:val="nl-NL"/>
        </w:rPr>
        <w:t>Journal of Oral and Maxillofacial Surgery</w:t>
      </w:r>
      <w:r w:rsidRPr="004C29F0">
        <w:rPr>
          <w:rFonts w:ascii="Calibri" w:hAnsi="Calibri" w:cs="Calibri"/>
          <w:noProof/>
          <w:lang w:val="nl-NL"/>
        </w:rPr>
        <w:t>. https://doi.org/10.1016/S0278-2391(98)90904-1</w:t>
      </w:r>
    </w:p>
    <w:p w14:paraId="0475C386"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lang w:val="nl-NL"/>
        </w:rPr>
      </w:pPr>
      <w:r w:rsidRPr="004C29F0">
        <w:rPr>
          <w:rFonts w:ascii="Calibri" w:hAnsi="Calibri" w:cs="Calibri"/>
          <w:noProof/>
          <w:lang w:val="nl-NL"/>
        </w:rPr>
        <w:t xml:space="preserve">Zuniga, J. R., &amp; Yates, D. M. (2016). Factors Determining Outcome After Trigeminal Nerve Surgery for Neuropathic Pain. </w:t>
      </w:r>
      <w:r w:rsidRPr="004C29F0">
        <w:rPr>
          <w:rFonts w:ascii="Calibri" w:hAnsi="Calibri" w:cs="Calibri"/>
          <w:i/>
          <w:iCs/>
          <w:noProof/>
          <w:lang w:val="nl-NL"/>
        </w:rPr>
        <w:t>Journal of Oral and Maxillofacial Surgery</w:t>
      </w:r>
      <w:r w:rsidRPr="004C29F0">
        <w:rPr>
          <w:rFonts w:ascii="Calibri" w:hAnsi="Calibri" w:cs="Calibri"/>
          <w:noProof/>
          <w:lang w:val="nl-NL"/>
        </w:rPr>
        <w:t xml:space="preserve">, </w:t>
      </w:r>
      <w:r w:rsidRPr="004C29F0">
        <w:rPr>
          <w:rFonts w:ascii="Calibri" w:hAnsi="Calibri" w:cs="Calibri"/>
          <w:i/>
          <w:iCs/>
          <w:noProof/>
          <w:lang w:val="nl-NL"/>
        </w:rPr>
        <w:t>74</w:t>
      </w:r>
      <w:r w:rsidRPr="004C29F0">
        <w:rPr>
          <w:rFonts w:ascii="Calibri" w:hAnsi="Calibri" w:cs="Calibri"/>
          <w:noProof/>
          <w:lang w:val="nl-NL"/>
        </w:rPr>
        <w:t>(7), 1323–1329. https://doi.org/10.1016/j.joms.2016.02.005</w:t>
      </w:r>
    </w:p>
    <w:p w14:paraId="34DAAEAB" w14:textId="77777777" w:rsidR="004C29F0" w:rsidRPr="004C29F0" w:rsidRDefault="004C29F0" w:rsidP="004C29F0">
      <w:pPr>
        <w:widowControl w:val="0"/>
        <w:autoSpaceDE w:val="0"/>
        <w:autoSpaceDN w:val="0"/>
        <w:adjustRightInd w:val="0"/>
        <w:spacing w:line="240" w:lineRule="auto"/>
        <w:ind w:left="480" w:hanging="480"/>
        <w:rPr>
          <w:rFonts w:ascii="Calibri" w:hAnsi="Calibri" w:cs="Calibri"/>
          <w:noProof/>
        </w:rPr>
      </w:pPr>
      <w:r w:rsidRPr="004C29F0">
        <w:rPr>
          <w:rFonts w:ascii="Calibri" w:hAnsi="Calibri" w:cs="Calibri"/>
          <w:noProof/>
          <w:lang w:val="nl-NL"/>
        </w:rPr>
        <w:t xml:space="preserve">Zuniga, J. R., Yates, D. M., &amp; Phillips, C. L. (2014). The presence of neuropathic pain predicts postoperative neuropathic pain following trigeminal nerve repair. </w:t>
      </w:r>
      <w:r w:rsidRPr="004C29F0">
        <w:rPr>
          <w:rFonts w:ascii="Calibri" w:hAnsi="Calibri" w:cs="Calibri"/>
          <w:i/>
          <w:iCs/>
          <w:noProof/>
          <w:lang w:val="nl-NL"/>
        </w:rPr>
        <w:t>Journal of Oral and Maxillofacial Surgery</w:t>
      </w:r>
      <w:r w:rsidRPr="004C29F0">
        <w:rPr>
          <w:rFonts w:ascii="Calibri" w:hAnsi="Calibri" w:cs="Calibri"/>
          <w:noProof/>
          <w:lang w:val="nl-NL"/>
        </w:rPr>
        <w:t xml:space="preserve">, </w:t>
      </w:r>
      <w:r w:rsidRPr="004C29F0">
        <w:rPr>
          <w:rFonts w:ascii="Calibri" w:hAnsi="Calibri" w:cs="Calibri"/>
          <w:i/>
          <w:iCs/>
          <w:noProof/>
          <w:lang w:val="nl-NL"/>
        </w:rPr>
        <w:t>72</w:t>
      </w:r>
      <w:r w:rsidRPr="004C29F0">
        <w:rPr>
          <w:rFonts w:ascii="Calibri" w:hAnsi="Calibri" w:cs="Calibri"/>
          <w:noProof/>
          <w:lang w:val="nl-NL"/>
        </w:rPr>
        <w:t>(12), 2422–2427. https://doi.org/10.1016/j.joms.2014.08.003</w:t>
      </w:r>
    </w:p>
    <w:p w14:paraId="1EB77496" w14:textId="446B986F" w:rsidR="002A0DBF" w:rsidRPr="002A0DBF" w:rsidRDefault="002A0DBF" w:rsidP="004C29F0">
      <w:pPr>
        <w:widowControl w:val="0"/>
        <w:autoSpaceDE w:val="0"/>
        <w:autoSpaceDN w:val="0"/>
        <w:adjustRightInd w:val="0"/>
        <w:spacing w:line="240" w:lineRule="auto"/>
        <w:ind w:left="480" w:hanging="480"/>
      </w:pPr>
      <w:r>
        <w:fldChar w:fldCharType="end"/>
      </w:r>
    </w:p>
    <w:sectPr w:rsidR="002A0DBF" w:rsidRPr="002A0DB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rederic Van der Cruyssen" w:date="2020-07-30T08:10:00Z" w:initials="FVdC">
    <w:p w14:paraId="61A9740B" w14:textId="77777777" w:rsidR="003C6750" w:rsidRPr="00C278BB" w:rsidRDefault="003C6750" w:rsidP="003C6750">
      <w:pPr>
        <w:rPr>
          <w:rFonts w:ascii="Times New Roman" w:eastAsia="Times New Roman" w:hAnsi="Times New Roman" w:cs="Times New Roman"/>
          <w:sz w:val="24"/>
          <w:szCs w:val="24"/>
          <w:lang w:val="en-US" w:eastAsia="nl-NL"/>
        </w:rPr>
      </w:pPr>
      <w:r>
        <w:rPr>
          <w:rStyle w:val="Verwijzingopmerking"/>
        </w:rPr>
        <w:annotationRef/>
      </w:r>
      <w:r w:rsidRPr="00C278BB">
        <w:rPr>
          <w:rFonts w:ascii="Calibri" w:eastAsia="Times New Roman" w:hAnsi="Calibri" w:cs="Calibri"/>
          <w:color w:val="000000"/>
          <w:lang w:val="en-US" w:eastAsia="nl-NL"/>
        </w:rPr>
        <w:t>not exceed 31,800 characters including spaces (text including bibliography, reduce the number of characters if using figures/illustrations).</w:t>
      </w:r>
    </w:p>
    <w:p w14:paraId="3CD5C10F" w14:textId="77777777" w:rsidR="003C6750" w:rsidRDefault="003C6750" w:rsidP="003C6750">
      <w:pPr>
        <w:pStyle w:val="Tekstopmerking"/>
        <w:rPr>
          <w:lang w:val="en-US"/>
        </w:rPr>
      </w:pPr>
    </w:p>
    <w:p w14:paraId="6F5C27F9" w14:textId="77777777" w:rsidR="003C6750" w:rsidRPr="00EC6652" w:rsidRDefault="003C6750" w:rsidP="003C6750">
      <w:pPr>
        <w:numPr>
          <w:ilvl w:val="0"/>
          <w:numId w:val="1"/>
        </w:numPr>
        <w:spacing w:after="0" w:line="240" w:lineRule="auto"/>
        <w:rPr>
          <w:rFonts w:ascii="Calibri" w:eastAsia="Times New Roman" w:hAnsi="Calibri" w:cs="Calibri"/>
          <w:color w:val="000000"/>
          <w:lang w:val="nl-BE" w:eastAsia="nl-NL"/>
        </w:rPr>
      </w:pPr>
      <w:r w:rsidRPr="00EC6652">
        <w:rPr>
          <w:rFonts w:ascii="Calibri" w:eastAsia="Times New Roman" w:hAnsi="Calibri" w:cs="Calibri"/>
          <w:sz w:val="21"/>
          <w:szCs w:val="21"/>
          <w:lang w:val="en-US" w:eastAsia="nl-NL"/>
        </w:rPr>
        <w:t>The length of the manuscript incl. bibliography should not exceed 12 printed pages. This corresponds to </w:t>
      </w:r>
      <w:r w:rsidRPr="00EC6652">
        <w:rPr>
          <w:rFonts w:ascii="Calibri" w:eastAsia="Times New Roman" w:hAnsi="Calibri" w:cs="Calibri"/>
          <w:b/>
          <w:bCs/>
          <w:sz w:val="21"/>
          <w:szCs w:val="21"/>
          <w:lang w:val="en-US" w:eastAsia="nl-NL"/>
        </w:rPr>
        <w:t>31 800 characters incl. empty space.</w:t>
      </w:r>
    </w:p>
    <w:p w14:paraId="3D767F42" w14:textId="77777777" w:rsidR="003C6750" w:rsidRPr="00EC6652" w:rsidRDefault="003C6750" w:rsidP="003C6750">
      <w:pPr>
        <w:spacing w:after="0" w:line="240" w:lineRule="auto"/>
        <w:ind w:left="360"/>
        <w:rPr>
          <w:rFonts w:ascii="Calibri" w:eastAsia="Times New Roman" w:hAnsi="Calibri" w:cs="Calibri"/>
          <w:color w:val="FFFFFF"/>
          <w:lang w:val="nl-BE" w:eastAsia="nl-NL"/>
        </w:rPr>
      </w:pPr>
      <w:r w:rsidRPr="00EC6652">
        <w:rPr>
          <w:rFonts w:ascii="Calibri" w:eastAsia="Times New Roman" w:hAnsi="Calibri" w:cs="Calibri"/>
          <w:color w:val="000000"/>
          <w:lang w:val="en-US" w:eastAsia="nl-NL"/>
        </w:rPr>
        <w:t> </w:t>
      </w:r>
    </w:p>
    <w:p w14:paraId="05FCCDF0" w14:textId="77777777" w:rsidR="003C6750" w:rsidRPr="00EC6652" w:rsidRDefault="003C6750" w:rsidP="003C6750">
      <w:pPr>
        <w:numPr>
          <w:ilvl w:val="0"/>
          <w:numId w:val="2"/>
        </w:numPr>
        <w:spacing w:after="0" w:line="240" w:lineRule="auto"/>
        <w:rPr>
          <w:rFonts w:ascii="Calibri" w:eastAsia="Times New Roman" w:hAnsi="Calibri" w:cs="Calibri"/>
          <w:color w:val="FFFFFF"/>
          <w:lang w:val="nl-BE" w:eastAsia="nl-NL"/>
        </w:rPr>
      </w:pPr>
      <w:r w:rsidRPr="00EC6652">
        <w:rPr>
          <w:rFonts w:ascii="Calibri" w:eastAsia="Times New Roman" w:hAnsi="Calibri" w:cs="Calibri"/>
          <w:color w:val="FFFFFF"/>
          <w:sz w:val="21"/>
          <w:szCs w:val="21"/>
          <w:lang w:val="en-US" w:eastAsia="nl-NL"/>
        </w:rPr>
        <w:t>Please follow the given systematic </w:t>
      </w:r>
      <w:r w:rsidRPr="00EC6652">
        <w:rPr>
          <w:rFonts w:ascii="Calibri" w:eastAsia="Times New Roman" w:hAnsi="Calibri" w:cs="Calibri"/>
          <w:b/>
          <w:bCs/>
          <w:color w:val="FFFFFF"/>
          <w:sz w:val="21"/>
          <w:szCs w:val="21"/>
          <w:lang w:val="en-US" w:eastAsia="nl-NL"/>
        </w:rPr>
        <w:t>structure</w:t>
      </w:r>
      <w:r w:rsidRPr="00EC6652">
        <w:rPr>
          <w:rFonts w:ascii="Calibri" w:eastAsia="Times New Roman" w:hAnsi="Calibri" w:cs="Calibri"/>
          <w:color w:val="FFFFFF"/>
          <w:sz w:val="21"/>
          <w:szCs w:val="21"/>
          <w:lang w:val="en-US" w:eastAsia="nl-NL"/>
        </w:rPr>
        <w:t>, that applies to all chapters in the book. Besides this, </w:t>
      </w:r>
      <w:r w:rsidRPr="00EC6652">
        <w:rPr>
          <w:rFonts w:ascii="Calibri" w:eastAsia="Times New Roman" w:hAnsi="Calibri" w:cs="Calibri"/>
          <w:b/>
          <w:bCs/>
          <w:color w:val="FFFFFF"/>
          <w:sz w:val="21"/>
          <w:szCs w:val="21"/>
          <w:lang w:val="en-US" w:eastAsia="nl-NL"/>
        </w:rPr>
        <w:t>textboxes</w:t>
      </w:r>
      <w:r w:rsidRPr="00EC6652">
        <w:rPr>
          <w:rFonts w:ascii="Calibri" w:eastAsia="Times New Roman" w:hAnsi="Calibri" w:cs="Calibri"/>
          <w:color w:val="FFFFFF"/>
          <w:sz w:val="21"/>
          <w:szCs w:val="21"/>
          <w:lang w:val="en-US" w:eastAsia="nl-NL"/>
        </w:rPr>
        <w:t> and</w:t>
      </w:r>
      <w:r>
        <w:rPr>
          <w:rFonts w:ascii="Calibri" w:eastAsia="Times New Roman" w:hAnsi="Calibri" w:cs="Calibri"/>
          <w:color w:val="FFFFFF"/>
          <w:sz w:val="21"/>
          <w:szCs w:val="21"/>
          <w:lang w:val="en-US" w:eastAsia="nl-NL"/>
        </w:rPr>
        <w:t xml:space="preserve"> </w:t>
      </w:r>
      <w:r w:rsidRPr="00EC6652">
        <w:rPr>
          <w:rFonts w:ascii="Calibri" w:eastAsia="Times New Roman" w:hAnsi="Calibri" w:cs="Calibri"/>
          <w:b/>
          <w:bCs/>
          <w:color w:val="FFFFFF"/>
          <w:sz w:val="21"/>
          <w:szCs w:val="21"/>
          <w:lang w:val="en-US" w:eastAsia="nl-NL"/>
        </w:rPr>
        <w:t>marginal notes</w:t>
      </w:r>
      <w:r w:rsidRPr="00EC6652">
        <w:rPr>
          <w:rFonts w:ascii="Calibri" w:eastAsia="Times New Roman" w:hAnsi="Calibri" w:cs="Calibri"/>
          <w:color w:val="FFFFFF"/>
          <w:sz w:val="21"/>
          <w:szCs w:val="21"/>
          <w:lang w:val="en-US" w:eastAsia="nl-NL"/>
        </w:rPr>
        <w:t> shall be included.</w:t>
      </w:r>
    </w:p>
    <w:p w14:paraId="4E752430" w14:textId="77777777" w:rsidR="003C6750" w:rsidRDefault="003C6750" w:rsidP="003C6750">
      <w:pPr>
        <w:pStyle w:val="Tekstopmerking"/>
        <w:rPr>
          <w:lang w:val="en-US"/>
        </w:rPr>
      </w:pPr>
    </w:p>
    <w:p w14:paraId="7EFA2185" w14:textId="77777777" w:rsidR="003C6750" w:rsidRPr="006D0A50" w:rsidRDefault="003C6750" w:rsidP="003C6750">
      <w:pPr>
        <w:spacing w:before="100" w:beforeAutospacing="1" w:after="100" w:afterAutospacing="1" w:line="240" w:lineRule="auto"/>
        <w:rPr>
          <w:rFonts w:ascii="Times New Roman" w:eastAsia="Times New Roman" w:hAnsi="Times New Roman" w:cs="Times New Roman"/>
          <w:sz w:val="24"/>
          <w:szCs w:val="24"/>
          <w:lang w:val="en-US" w:eastAsia="nl-NL"/>
        </w:rPr>
      </w:pPr>
      <w:r w:rsidRPr="006D0A50">
        <w:rPr>
          <w:rFonts w:ascii="Cambria" w:eastAsia="Times New Roman" w:hAnsi="Cambria" w:cs="Times New Roman"/>
          <w:b/>
          <w:bCs/>
          <w:lang w:val="en-US" w:eastAsia="nl-NL"/>
        </w:rPr>
        <w:t xml:space="preserve">Uniform structure of chapters </w:t>
      </w:r>
    </w:p>
    <w:p w14:paraId="5CE4F495" w14:textId="77777777" w:rsidR="003C6750" w:rsidRPr="006D0A50" w:rsidRDefault="003C6750" w:rsidP="003C6750">
      <w:pPr>
        <w:spacing w:before="100" w:beforeAutospacing="1" w:after="100" w:afterAutospacing="1" w:line="240" w:lineRule="auto"/>
        <w:rPr>
          <w:rFonts w:ascii="Times New Roman" w:eastAsia="Times New Roman" w:hAnsi="Times New Roman" w:cs="Times New Roman"/>
          <w:sz w:val="24"/>
          <w:szCs w:val="24"/>
          <w:lang w:val="en-US" w:eastAsia="nl-NL"/>
        </w:rPr>
      </w:pPr>
      <w:r w:rsidRPr="006D0A50">
        <w:rPr>
          <w:rFonts w:ascii="Cambria" w:eastAsia="Times New Roman" w:hAnsi="Cambria" w:cs="Times New Roman"/>
          <w:lang w:val="en-US" w:eastAsia="nl-NL"/>
        </w:rPr>
        <w:t xml:space="preserve">Please follow the given systematic structure: Your chapter should start with a case study and end with a section “Summary/take-home messages”. In the unnumbered section „Bibliography“ you list your complete list of literature, the number being limited to 25 references per chapter. </w:t>
      </w:r>
    </w:p>
    <w:p w14:paraId="5687EF57" w14:textId="77777777" w:rsidR="003C6750" w:rsidRPr="006D0A50" w:rsidRDefault="003C6750" w:rsidP="003C6750">
      <w:pPr>
        <w:spacing w:before="100" w:beforeAutospacing="1" w:after="100" w:afterAutospacing="1" w:line="240" w:lineRule="auto"/>
        <w:rPr>
          <w:rFonts w:ascii="Times New Roman" w:eastAsia="Times New Roman" w:hAnsi="Times New Roman" w:cs="Times New Roman"/>
          <w:sz w:val="24"/>
          <w:szCs w:val="24"/>
          <w:lang w:val="en-US" w:eastAsia="nl-NL"/>
        </w:rPr>
      </w:pPr>
      <w:r w:rsidRPr="006D0A50">
        <w:rPr>
          <w:rFonts w:ascii="Cambria" w:eastAsia="Times New Roman" w:hAnsi="Cambria" w:cs="Times New Roman"/>
          <w:b/>
          <w:bCs/>
          <w:lang w:val="en-US" w:eastAsia="nl-NL"/>
        </w:rPr>
        <w:t xml:space="preserve">x </w:t>
      </w:r>
      <w:r w:rsidRPr="006D0A50">
        <w:rPr>
          <w:rFonts w:ascii="Cambria" w:eastAsia="Times New Roman" w:hAnsi="Cambria" w:cs="Times New Roman"/>
          <w:i/>
          <w:iCs/>
          <w:lang w:val="en-US" w:eastAsia="nl-NL"/>
        </w:rPr>
        <w:t xml:space="preserve">[Title of your chapter] </w:t>
      </w:r>
    </w:p>
    <w:p w14:paraId="37F5B612" w14:textId="77777777" w:rsidR="003C6750" w:rsidRPr="006D0A50" w:rsidRDefault="003C6750" w:rsidP="003C6750">
      <w:pPr>
        <w:numPr>
          <w:ilvl w:val="0"/>
          <w:numId w:val="3"/>
        </w:numPr>
        <w:spacing w:before="100" w:beforeAutospacing="1" w:after="100" w:afterAutospacing="1" w:line="240" w:lineRule="auto"/>
        <w:rPr>
          <w:rFonts w:ascii="Times New Roman" w:eastAsia="Times New Roman" w:hAnsi="Times New Roman" w:cs="Times New Roman"/>
          <w:sz w:val="24"/>
          <w:szCs w:val="24"/>
          <w:lang w:val="nl-BE" w:eastAsia="nl-NL"/>
        </w:rPr>
      </w:pPr>
      <w:r w:rsidRPr="006D0A50">
        <w:rPr>
          <w:rFonts w:ascii="Cambria" w:eastAsia="Times New Roman" w:hAnsi="Cambria" w:cs="Times New Roman"/>
          <w:b/>
          <w:bCs/>
          <w:lang w:val="nl-BE" w:eastAsia="nl-NL"/>
        </w:rPr>
        <w:t>x.1  </w:t>
      </w:r>
      <w:r w:rsidRPr="006D0A50">
        <w:rPr>
          <w:rFonts w:ascii="Cambria" w:eastAsia="Times New Roman" w:hAnsi="Cambria" w:cs="Times New Roman"/>
          <w:lang w:val="nl-BE" w:eastAsia="nl-NL"/>
        </w:rPr>
        <w:t xml:space="preserve">Case study </w:t>
      </w:r>
    </w:p>
    <w:p w14:paraId="6856A5BB" w14:textId="77777777" w:rsidR="003C6750" w:rsidRPr="006D0A50" w:rsidRDefault="003C6750" w:rsidP="003C6750">
      <w:pPr>
        <w:numPr>
          <w:ilvl w:val="0"/>
          <w:numId w:val="3"/>
        </w:numPr>
        <w:spacing w:before="100" w:beforeAutospacing="1" w:after="100" w:afterAutospacing="1" w:line="240" w:lineRule="auto"/>
        <w:rPr>
          <w:rFonts w:ascii="Times New Roman" w:eastAsia="Times New Roman" w:hAnsi="Times New Roman" w:cs="Times New Roman"/>
          <w:sz w:val="24"/>
          <w:szCs w:val="24"/>
          <w:lang w:val="nl-BE" w:eastAsia="nl-NL"/>
        </w:rPr>
      </w:pPr>
      <w:r w:rsidRPr="006D0A50">
        <w:rPr>
          <w:rFonts w:ascii="Cambria" w:eastAsia="Times New Roman" w:hAnsi="Cambria" w:cs="Times New Roman"/>
          <w:b/>
          <w:bCs/>
          <w:lang w:val="nl-BE" w:eastAsia="nl-NL"/>
        </w:rPr>
        <w:t>x.2  </w:t>
      </w:r>
      <w:r w:rsidRPr="006D0A50">
        <w:rPr>
          <w:rFonts w:ascii="Cambria" w:eastAsia="Times New Roman" w:hAnsi="Cambria" w:cs="Times New Roman"/>
          <w:lang w:val="nl-BE" w:eastAsia="nl-NL"/>
        </w:rPr>
        <w:t xml:space="preserve">Diagnostics </w:t>
      </w:r>
    </w:p>
    <w:p w14:paraId="5F20E4ED" w14:textId="77777777" w:rsidR="003C6750" w:rsidRPr="006D0A50" w:rsidRDefault="003C6750" w:rsidP="003C6750">
      <w:pPr>
        <w:numPr>
          <w:ilvl w:val="0"/>
          <w:numId w:val="3"/>
        </w:numPr>
        <w:spacing w:before="100" w:beforeAutospacing="1" w:after="100" w:afterAutospacing="1" w:line="240" w:lineRule="auto"/>
        <w:rPr>
          <w:rFonts w:ascii="Times New Roman" w:eastAsia="Times New Roman" w:hAnsi="Times New Roman" w:cs="Times New Roman"/>
          <w:sz w:val="24"/>
          <w:szCs w:val="24"/>
          <w:lang w:val="nl-BE" w:eastAsia="nl-NL"/>
        </w:rPr>
      </w:pPr>
      <w:r w:rsidRPr="006D0A50">
        <w:rPr>
          <w:rFonts w:ascii="Cambria" w:eastAsia="Times New Roman" w:hAnsi="Cambria" w:cs="Times New Roman"/>
          <w:b/>
          <w:bCs/>
          <w:lang w:val="nl-BE" w:eastAsia="nl-NL"/>
        </w:rPr>
        <w:t>x.3  </w:t>
      </w:r>
      <w:r w:rsidRPr="006D0A50">
        <w:rPr>
          <w:rFonts w:ascii="Cambria" w:eastAsia="Times New Roman" w:hAnsi="Cambria" w:cs="Times New Roman"/>
          <w:lang w:val="nl-BE" w:eastAsia="nl-NL"/>
        </w:rPr>
        <w:t xml:space="preserve">Therapy </w:t>
      </w:r>
    </w:p>
    <w:p w14:paraId="0BFB4AD1" w14:textId="77777777" w:rsidR="003C6750" w:rsidRPr="006D0A50" w:rsidRDefault="003C6750" w:rsidP="003C6750">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r w:rsidRPr="006D0A50">
        <w:rPr>
          <w:rFonts w:ascii="Cambria" w:eastAsia="Times New Roman" w:hAnsi="Cambria" w:cs="Times New Roman"/>
          <w:b/>
          <w:bCs/>
          <w:lang w:val="en-US" w:eastAsia="nl-NL"/>
        </w:rPr>
        <w:t>x.4  </w:t>
      </w:r>
      <w:r w:rsidRPr="006D0A50">
        <w:rPr>
          <w:rFonts w:ascii="Cambria" w:eastAsia="Times New Roman" w:hAnsi="Cambria" w:cs="Times New Roman"/>
          <w:lang w:val="en-US" w:eastAsia="nl-NL"/>
        </w:rPr>
        <w:t xml:space="preserve">Background information pathophysiology/differential diagnosis </w:t>
      </w:r>
    </w:p>
    <w:p w14:paraId="4271EAEC" w14:textId="77777777" w:rsidR="003C6750" w:rsidRPr="006D0A50" w:rsidRDefault="003C6750" w:rsidP="003C6750">
      <w:pPr>
        <w:numPr>
          <w:ilvl w:val="0"/>
          <w:numId w:val="3"/>
        </w:numPr>
        <w:spacing w:before="100" w:beforeAutospacing="1" w:after="100" w:afterAutospacing="1" w:line="240" w:lineRule="auto"/>
        <w:rPr>
          <w:rFonts w:ascii="Times New Roman" w:eastAsia="Times New Roman" w:hAnsi="Times New Roman" w:cs="Times New Roman"/>
          <w:sz w:val="24"/>
          <w:szCs w:val="24"/>
          <w:lang w:val="nl-BE" w:eastAsia="nl-NL"/>
        </w:rPr>
      </w:pPr>
      <w:r w:rsidRPr="006D0A50">
        <w:rPr>
          <w:rFonts w:ascii="Cambria" w:eastAsia="Times New Roman" w:hAnsi="Cambria" w:cs="Times New Roman"/>
          <w:b/>
          <w:bCs/>
          <w:lang w:val="nl-BE" w:eastAsia="nl-NL"/>
        </w:rPr>
        <w:t>x.5  </w:t>
      </w:r>
      <w:r w:rsidRPr="006D0A50">
        <w:rPr>
          <w:rFonts w:ascii="Cambria" w:eastAsia="Times New Roman" w:hAnsi="Cambria" w:cs="Times New Roman"/>
          <w:lang w:val="nl-BE" w:eastAsia="nl-NL"/>
        </w:rPr>
        <w:t xml:space="preserve">Summary/take-home messages </w:t>
      </w:r>
    </w:p>
    <w:p w14:paraId="274E4603" w14:textId="77777777" w:rsidR="003C6750" w:rsidRPr="006D0A50" w:rsidRDefault="003C6750" w:rsidP="003C6750">
      <w:pPr>
        <w:spacing w:before="100" w:beforeAutospacing="1" w:after="100" w:afterAutospacing="1" w:line="240" w:lineRule="auto"/>
        <w:ind w:left="720"/>
        <w:rPr>
          <w:rFonts w:ascii="Times New Roman" w:eastAsia="Times New Roman" w:hAnsi="Times New Roman" w:cs="Times New Roman"/>
          <w:sz w:val="24"/>
          <w:szCs w:val="24"/>
          <w:lang w:val="nl-BE" w:eastAsia="nl-NL"/>
        </w:rPr>
      </w:pPr>
      <w:r w:rsidRPr="006D0A50">
        <w:rPr>
          <w:rFonts w:ascii="Cambria" w:eastAsia="Times New Roman" w:hAnsi="Cambria" w:cs="Times New Roman"/>
          <w:lang w:val="nl-BE" w:eastAsia="nl-NL"/>
        </w:rPr>
        <w:t xml:space="preserve">Bibliography </w:t>
      </w:r>
    </w:p>
    <w:p w14:paraId="00E0B89C" w14:textId="77777777" w:rsidR="003C6750" w:rsidRPr="00C278BB" w:rsidRDefault="003C6750" w:rsidP="003C6750">
      <w:pPr>
        <w:pStyle w:val="Tekstopmerking"/>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E0B8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FEDD" w16cex:dateUtc="2020-07-30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0B89C" w16cid:durableId="22CCFE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F3D7B"/>
    <w:multiLevelType w:val="multilevel"/>
    <w:tmpl w:val="D2EC3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2213A"/>
    <w:multiLevelType w:val="hybridMultilevel"/>
    <w:tmpl w:val="5F84E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380355"/>
    <w:multiLevelType w:val="multilevel"/>
    <w:tmpl w:val="F60C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A607F"/>
    <w:multiLevelType w:val="hybridMultilevel"/>
    <w:tmpl w:val="7C24C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0C48B6"/>
    <w:multiLevelType w:val="hybridMultilevel"/>
    <w:tmpl w:val="87F2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BD150E"/>
    <w:multiLevelType w:val="hybridMultilevel"/>
    <w:tmpl w:val="A3FED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B3E3D4D"/>
    <w:multiLevelType w:val="hybridMultilevel"/>
    <w:tmpl w:val="E974B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7B2EAA"/>
    <w:multiLevelType w:val="multilevel"/>
    <w:tmpl w:val="CEF8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0"/>
  </w:num>
  <w:num w:numId="4">
    <w:abstractNumId w:val="5"/>
  </w:num>
  <w:num w:numId="5">
    <w:abstractNumId w:val="1"/>
  </w:num>
  <w:num w:numId="6">
    <w:abstractNumId w:val="6"/>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ederic Van der Cruyssen">
    <w15:presenceInfo w15:providerId="Windows Live" w15:userId="b4da320077faf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50"/>
    <w:rsid w:val="00006C6F"/>
    <w:rsid w:val="00021869"/>
    <w:rsid w:val="000606C9"/>
    <w:rsid w:val="000958B9"/>
    <w:rsid w:val="0010453F"/>
    <w:rsid w:val="00144039"/>
    <w:rsid w:val="00161E3B"/>
    <w:rsid w:val="00166398"/>
    <w:rsid w:val="00173BFC"/>
    <w:rsid w:val="001A0CEF"/>
    <w:rsid w:val="0020287B"/>
    <w:rsid w:val="002708B6"/>
    <w:rsid w:val="00270A4A"/>
    <w:rsid w:val="00272384"/>
    <w:rsid w:val="00285314"/>
    <w:rsid w:val="002A0DBF"/>
    <w:rsid w:val="002D14D0"/>
    <w:rsid w:val="00310A94"/>
    <w:rsid w:val="003165C3"/>
    <w:rsid w:val="00333C47"/>
    <w:rsid w:val="003514FE"/>
    <w:rsid w:val="00352E69"/>
    <w:rsid w:val="003734F4"/>
    <w:rsid w:val="00377C87"/>
    <w:rsid w:val="00396F22"/>
    <w:rsid w:val="003B67EC"/>
    <w:rsid w:val="003C6750"/>
    <w:rsid w:val="00416F7B"/>
    <w:rsid w:val="004607B9"/>
    <w:rsid w:val="004C29F0"/>
    <w:rsid w:val="004F1BF5"/>
    <w:rsid w:val="00543B4F"/>
    <w:rsid w:val="00595099"/>
    <w:rsid w:val="0060240D"/>
    <w:rsid w:val="00606B88"/>
    <w:rsid w:val="00623211"/>
    <w:rsid w:val="006259B2"/>
    <w:rsid w:val="0063238E"/>
    <w:rsid w:val="00633C4A"/>
    <w:rsid w:val="00657E25"/>
    <w:rsid w:val="00660662"/>
    <w:rsid w:val="006744F6"/>
    <w:rsid w:val="00694B14"/>
    <w:rsid w:val="006B5483"/>
    <w:rsid w:val="007106BF"/>
    <w:rsid w:val="007208FE"/>
    <w:rsid w:val="0072551D"/>
    <w:rsid w:val="00731BF9"/>
    <w:rsid w:val="00735D01"/>
    <w:rsid w:val="00742810"/>
    <w:rsid w:val="00742EE8"/>
    <w:rsid w:val="00753079"/>
    <w:rsid w:val="0075331E"/>
    <w:rsid w:val="007574C4"/>
    <w:rsid w:val="0076156C"/>
    <w:rsid w:val="00767250"/>
    <w:rsid w:val="00774748"/>
    <w:rsid w:val="007917A2"/>
    <w:rsid w:val="007926CE"/>
    <w:rsid w:val="007D5FB8"/>
    <w:rsid w:val="008051CD"/>
    <w:rsid w:val="008054B8"/>
    <w:rsid w:val="0083029E"/>
    <w:rsid w:val="00831692"/>
    <w:rsid w:val="00836975"/>
    <w:rsid w:val="00877D13"/>
    <w:rsid w:val="008D11D4"/>
    <w:rsid w:val="008E6D11"/>
    <w:rsid w:val="009108F2"/>
    <w:rsid w:val="00950FB1"/>
    <w:rsid w:val="009642AB"/>
    <w:rsid w:val="009B15D4"/>
    <w:rsid w:val="009B2D6E"/>
    <w:rsid w:val="00A3201B"/>
    <w:rsid w:val="00A37218"/>
    <w:rsid w:val="00A527D9"/>
    <w:rsid w:val="00AB06EF"/>
    <w:rsid w:val="00AC3230"/>
    <w:rsid w:val="00AE3D36"/>
    <w:rsid w:val="00B013B1"/>
    <w:rsid w:val="00B24AEF"/>
    <w:rsid w:val="00B32942"/>
    <w:rsid w:val="00BA7499"/>
    <w:rsid w:val="00BC209C"/>
    <w:rsid w:val="00BD6690"/>
    <w:rsid w:val="00C27123"/>
    <w:rsid w:val="00C76EDE"/>
    <w:rsid w:val="00CA2B29"/>
    <w:rsid w:val="00CD7979"/>
    <w:rsid w:val="00D03791"/>
    <w:rsid w:val="00D136F0"/>
    <w:rsid w:val="00D13E6A"/>
    <w:rsid w:val="00D15CA1"/>
    <w:rsid w:val="00DB6756"/>
    <w:rsid w:val="00DD1CDC"/>
    <w:rsid w:val="00DD5B97"/>
    <w:rsid w:val="00E1055C"/>
    <w:rsid w:val="00E10761"/>
    <w:rsid w:val="00E32BF4"/>
    <w:rsid w:val="00E3382F"/>
    <w:rsid w:val="00E6644D"/>
    <w:rsid w:val="00EB3E2E"/>
    <w:rsid w:val="00EC4AFD"/>
    <w:rsid w:val="00ED3939"/>
    <w:rsid w:val="00ED6C62"/>
    <w:rsid w:val="00EF0028"/>
    <w:rsid w:val="00F0489C"/>
    <w:rsid w:val="00F10A50"/>
    <w:rsid w:val="00F24F19"/>
    <w:rsid w:val="00F359D3"/>
    <w:rsid w:val="00F42424"/>
    <w:rsid w:val="00F92A81"/>
    <w:rsid w:val="00F933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F037"/>
  <w15:chartTrackingRefBased/>
  <w15:docId w15:val="{74915D62-1F4B-B848-AA1C-B91F6675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4039"/>
    <w:pPr>
      <w:spacing w:after="160" w:line="259" w:lineRule="auto"/>
    </w:pPr>
    <w:rPr>
      <w:sz w:val="18"/>
      <w:szCs w:val="22"/>
      <w:lang w:val="en-GB"/>
    </w:rPr>
  </w:style>
  <w:style w:type="paragraph" w:styleId="Kop1">
    <w:name w:val="heading 1"/>
    <w:basedOn w:val="Standaard"/>
    <w:next w:val="Standaard"/>
    <w:link w:val="Kop1Char"/>
    <w:uiPriority w:val="9"/>
    <w:qFormat/>
    <w:rsid w:val="003C6750"/>
    <w:pPr>
      <w:keepNext/>
      <w:spacing w:before="240" w:after="60" w:line="240" w:lineRule="auto"/>
      <w:outlineLvl w:val="0"/>
    </w:pPr>
    <w:rPr>
      <w:rFonts w:ascii="Cambria" w:eastAsia="Times New Roman" w:hAnsi="Cambria" w:cs="Times New Roman"/>
      <w:b/>
      <w:bCs/>
      <w:kern w:val="32"/>
      <w:sz w:val="32"/>
      <w:szCs w:val="32"/>
    </w:rPr>
  </w:style>
  <w:style w:type="paragraph" w:styleId="Kop2">
    <w:name w:val="heading 2"/>
    <w:basedOn w:val="Standaard"/>
    <w:next w:val="Standaard"/>
    <w:link w:val="Kop2Char"/>
    <w:uiPriority w:val="9"/>
    <w:unhideWhenUsed/>
    <w:qFormat/>
    <w:rsid w:val="003C67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3C67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6750"/>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3C6750"/>
    <w:rPr>
      <w:rFonts w:ascii="Times New Roman" w:hAnsi="Times New Roman" w:cs="Times New Roman"/>
      <w:sz w:val="18"/>
      <w:szCs w:val="18"/>
    </w:rPr>
  </w:style>
  <w:style w:type="character" w:customStyle="1" w:styleId="Kop1Char">
    <w:name w:val="Kop 1 Char"/>
    <w:basedOn w:val="Standaardalinea-lettertype"/>
    <w:link w:val="Kop1"/>
    <w:uiPriority w:val="9"/>
    <w:rsid w:val="003C6750"/>
    <w:rPr>
      <w:rFonts w:ascii="Cambria" w:eastAsia="Times New Roman" w:hAnsi="Cambria" w:cs="Times New Roman"/>
      <w:b/>
      <w:bCs/>
      <w:kern w:val="32"/>
      <w:sz w:val="32"/>
      <w:szCs w:val="32"/>
      <w:lang w:val="en-GB"/>
    </w:rPr>
  </w:style>
  <w:style w:type="character" w:styleId="Verwijzingopmerking">
    <w:name w:val="annotation reference"/>
    <w:uiPriority w:val="99"/>
    <w:semiHidden/>
    <w:unhideWhenUsed/>
    <w:rsid w:val="003C6750"/>
    <w:rPr>
      <w:sz w:val="16"/>
      <w:szCs w:val="16"/>
    </w:rPr>
  </w:style>
  <w:style w:type="paragraph" w:styleId="Tekstopmerking">
    <w:name w:val="annotation text"/>
    <w:basedOn w:val="Standaard"/>
    <w:link w:val="TekstopmerkingChar"/>
    <w:uiPriority w:val="99"/>
    <w:semiHidden/>
    <w:unhideWhenUsed/>
    <w:rsid w:val="003C6750"/>
    <w:pPr>
      <w:spacing w:after="0" w:line="240" w:lineRule="auto"/>
    </w:pPr>
    <w:rPr>
      <w:rFonts w:ascii="Cambria" w:eastAsia="MS Mincho" w:hAnsi="Cambria" w:cs="Times New Roman"/>
      <w:sz w:val="20"/>
      <w:szCs w:val="20"/>
    </w:rPr>
  </w:style>
  <w:style w:type="character" w:customStyle="1" w:styleId="TekstopmerkingChar">
    <w:name w:val="Tekst opmerking Char"/>
    <w:basedOn w:val="Standaardalinea-lettertype"/>
    <w:link w:val="Tekstopmerking"/>
    <w:uiPriority w:val="99"/>
    <w:semiHidden/>
    <w:rsid w:val="003C6750"/>
    <w:rPr>
      <w:rFonts w:ascii="Cambria" w:eastAsia="MS Mincho" w:hAnsi="Cambria" w:cs="Times New Roman"/>
      <w:sz w:val="20"/>
      <w:szCs w:val="20"/>
      <w:lang w:val="en-GB"/>
    </w:rPr>
  </w:style>
  <w:style w:type="paragraph" w:styleId="Titel">
    <w:name w:val="Title"/>
    <w:basedOn w:val="Standaard"/>
    <w:next w:val="Standaard"/>
    <w:link w:val="TitelChar"/>
    <w:uiPriority w:val="10"/>
    <w:qFormat/>
    <w:rsid w:val="003C67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C6750"/>
    <w:rPr>
      <w:rFonts w:asciiTheme="majorHAnsi" w:eastAsiaTheme="majorEastAsia" w:hAnsiTheme="majorHAnsi" w:cstheme="majorBidi"/>
      <w:spacing w:val="-10"/>
      <w:kern w:val="28"/>
      <w:sz w:val="56"/>
      <w:szCs w:val="56"/>
      <w:lang w:val="en-GB"/>
    </w:rPr>
  </w:style>
  <w:style w:type="table" w:styleId="Tabelraster">
    <w:name w:val="Table Grid"/>
    <w:basedOn w:val="Standaardtabel"/>
    <w:uiPriority w:val="59"/>
    <w:rsid w:val="003C6750"/>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C6750"/>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Kop2Char">
    <w:name w:val="Kop 2 Char"/>
    <w:basedOn w:val="Standaardalinea-lettertype"/>
    <w:link w:val="Kop2"/>
    <w:uiPriority w:val="9"/>
    <w:rsid w:val="003C6750"/>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unhideWhenUsed/>
    <w:rsid w:val="003C6750"/>
    <w:rPr>
      <w:color w:val="0000FF"/>
      <w:u w:val="single"/>
    </w:rPr>
  </w:style>
  <w:style w:type="character" w:customStyle="1" w:styleId="Kop3Char">
    <w:name w:val="Kop 3 Char"/>
    <w:basedOn w:val="Standaardalinea-lettertype"/>
    <w:link w:val="Kop3"/>
    <w:uiPriority w:val="9"/>
    <w:semiHidden/>
    <w:rsid w:val="003C6750"/>
    <w:rPr>
      <w:rFonts w:asciiTheme="majorHAnsi" w:eastAsiaTheme="majorEastAsia" w:hAnsiTheme="majorHAnsi" w:cstheme="majorBidi"/>
      <w:color w:val="1F3763" w:themeColor="accent1" w:themeShade="7F"/>
      <w:lang w:val="en-GB"/>
    </w:rPr>
  </w:style>
  <w:style w:type="character" w:customStyle="1" w:styleId="A0">
    <w:name w:val="A0"/>
    <w:uiPriority w:val="99"/>
    <w:rsid w:val="003C6750"/>
    <w:rPr>
      <w:color w:val="000000"/>
      <w:sz w:val="22"/>
      <w:szCs w:val="22"/>
    </w:rPr>
  </w:style>
  <w:style w:type="character" w:customStyle="1" w:styleId="highlight">
    <w:name w:val="highlight"/>
    <w:rsid w:val="003C6750"/>
  </w:style>
  <w:style w:type="table" w:styleId="Rastertabel4-Accent1">
    <w:name w:val="Grid Table 4 Accent 1"/>
    <w:basedOn w:val="Standaardtabel"/>
    <w:uiPriority w:val="49"/>
    <w:rsid w:val="00B013B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2896-A0BF-B04B-B615-DE5FFE6D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27526</Words>
  <Characters>165707</Characters>
  <Application>Microsoft Office Word</Application>
  <DocSecurity>0</DocSecurity>
  <Lines>2630</Lines>
  <Paragraphs>1044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der Cruyssen</dc:creator>
  <cp:keywords/>
  <dc:description/>
  <cp:lastModifiedBy>Frederic Van der Cruyssen</cp:lastModifiedBy>
  <cp:revision>110</cp:revision>
  <dcterms:created xsi:type="dcterms:W3CDTF">2020-08-12T06:12:00Z</dcterms:created>
  <dcterms:modified xsi:type="dcterms:W3CDTF">2020-08-15T16:10:00Z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f53a7009-02c9-3250-84f8-ddd2084676fd</vt:lpwstr>
  </property>
  <property fmtid="{D5CDD505-2E9C-101B-9397-08002B2CF9AE}" pid="24" name="Mendeley Citation Style_1">
    <vt:lpwstr>http://www.zotero.org/styles/apa</vt:lpwstr>
  </property>
</Properties>
</file>